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ascii="楷体_GB2312" w:hAnsi="楷体" w:eastAsia="楷体_GB2312"/>
          <w:spacing w:val="-20"/>
          <w:sz w:val="48"/>
          <w:szCs w:val="48"/>
        </w:rPr>
      </w:pPr>
    </w:p>
    <w:p>
      <w:pPr>
        <w:adjustRightInd w:val="0"/>
        <w:snapToGrid w:val="0"/>
        <w:spacing w:line="360" w:lineRule="auto"/>
        <w:jc w:val="center"/>
        <w:rPr>
          <w:rFonts w:ascii="楷体_GB2312" w:hAnsi="楷体" w:eastAsia="楷体_GB2312"/>
          <w:spacing w:val="-20"/>
          <w:sz w:val="44"/>
          <w:szCs w:val="44"/>
        </w:rPr>
      </w:pPr>
      <w:r>
        <w:rPr>
          <w:rFonts w:hint="eastAsia" w:ascii="楷体_GB2312" w:hAnsi="楷体" w:eastAsia="楷体_GB2312"/>
          <w:spacing w:val="-20"/>
          <w:sz w:val="44"/>
          <w:szCs w:val="44"/>
        </w:rPr>
        <w:t>芙蓉初级中学厨房排风新风系统和厨房设备采购</w:t>
      </w:r>
    </w:p>
    <w:p>
      <w:pPr>
        <w:adjustRightInd w:val="0"/>
        <w:snapToGrid w:val="0"/>
        <w:spacing w:line="360" w:lineRule="auto"/>
        <w:jc w:val="center"/>
        <w:rPr>
          <w:rFonts w:ascii="楷体_GB2312" w:hAnsi="楷体" w:eastAsia="楷体_GB2312"/>
          <w:sz w:val="52"/>
          <w:szCs w:val="52"/>
        </w:rPr>
      </w:pPr>
      <w:r>
        <w:rPr>
          <w:rFonts w:hint="eastAsia" w:ascii="楷体_GB2312" w:hAnsi="楷体" w:eastAsia="楷体_GB2312"/>
          <w:sz w:val="52"/>
          <w:szCs w:val="52"/>
        </w:rPr>
        <w:t>询价文件</w:t>
      </w:r>
    </w:p>
    <w:p>
      <w:pPr>
        <w:adjustRightInd w:val="0"/>
        <w:snapToGrid w:val="0"/>
        <w:spacing w:line="360" w:lineRule="auto"/>
        <w:ind w:firstLine="480" w:firstLineChars="200"/>
        <w:jc w:val="center"/>
        <w:rPr>
          <w:rFonts w:ascii="楷体_GB2312" w:hAnsi="楷体" w:eastAsia="楷体_GB2312"/>
          <w:sz w:val="24"/>
        </w:rPr>
      </w:pPr>
    </w:p>
    <w:p>
      <w:pPr>
        <w:adjustRightInd w:val="0"/>
        <w:snapToGrid w:val="0"/>
        <w:spacing w:line="360" w:lineRule="auto"/>
        <w:ind w:firstLine="480" w:firstLineChars="200"/>
        <w:jc w:val="center"/>
        <w:rPr>
          <w:rFonts w:ascii="楷体_GB2312" w:hAnsi="楷体" w:eastAsia="楷体_GB2312"/>
          <w:sz w:val="24"/>
        </w:rPr>
      </w:pPr>
      <w:r>
        <w:rPr>
          <w:rFonts w:hint="eastAsia" w:ascii="楷体_GB2312" w:hAnsi="楷体" w:eastAsia="楷体_GB2312"/>
          <w:sz w:val="24"/>
        </w:rPr>
        <w:t>采购编号：</w:t>
      </w:r>
      <w:r>
        <w:rPr>
          <w:rFonts w:hint="eastAsia" w:ascii="楷体_GB2312" w:hAnsi="宋体" w:eastAsia="楷体_GB2312" w:cs="宋体"/>
          <w:kern w:val="0"/>
          <w:sz w:val="24"/>
        </w:rPr>
        <w:t>昊丰采询[2021]001号</w:t>
      </w:r>
    </w:p>
    <w:p>
      <w:pPr>
        <w:adjustRightInd w:val="0"/>
        <w:snapToGrid w:val="0"/>
        <w:spacing w:line="360" w:lineRule="auto"/>
        <w:ind w:firstLine="560" w:firstLineChars="200"/>
        <w:jc w:val="left"/>
        <w:rPr>
          <w:rFonts w:ascii="楷体_GB2312" w:hAnsi="楷体" w:eastAsia="楷体_GB2312"/>
          <w:sz w:val="28"/>
          <w:szCs w:val="28"/>
        </w:rPr>
      </w:pPr>
    </w:p>
    <w:p>
      <w:pPr>
        <w:adjustRightInd w:val="0"/>
        <w:snapToGrid w:val="0"/>
        <w:spacing w:line="360" w:lineRule="auto"/>
        <w:ind w:firstLine="560" w:firstLineChars="200"/>
        <w:jc w:val="center"/>
        <w:rPr>
          <w:rFonts w:ascii="楷体_GB2312" w:hAnsi="楷体" w:eastAsia="楷体_GB2312"/>
          <w:sz w:val="28"/>
          <w:szCs w:val="28"/>
        </w:rPr>
      </w:pPr>
      <w:r>
        <w:rPr>
          <w:rFonts w:hint="eastAsia" w:ascii="楷体_GB2312" w:hAnsi="楷体" w:eastAsia="楷体_GB2312"/>
          <w:sz w:val="28"/>
          <w:szCs w:val="28"/>
        </w:rPr>
        <w:t>目    录</w:t>
      </w:r>
    </w:p>
    <w:p>
      <w:pPr>
        <w:adjustRightInd w:val="0"/>
        <w:snapToGrid w:val="0"/>
        <w:spacing w:line="360" w:lineRule="auto"/>
        <w:ind w:firstLine="560" w:firstLineChars="200"/>
        <w:jc w:val="left"/>
        <w:rPr>
          <w:rFonts w:ascii="楷体_GB2312" w:hAnsi="楷体" w:eastAsia="楷体_GB2312"/>
          <w:sz w:val="28"/>
          <w:szCs w:val="28"/>
        </w:rPr>
      </w:pPr>
    </w:p>
    <w:p>
      <w:pPr>
        <w:adjustRightInd w:val="0"/>
        <w:snapToGrid w:val="0"/>
        <w:spacing w:line="360" w:lineRule="auto"/>
        <w:ind w:firstLine="560" w:firstLineChars="200"/>
        <w:jc w:val="left"/>
        <w:rPr>
          <w:rFonts w:ascii="楷体_GB2312" w:hAnsi="楷体" w:eastAsia="楷体_GB2312"/>
          <w:sz w:val="28"/>
          <w:szCs w:val="28"/>
        </w:rPr>
      </w:pPr>
      <w:r>
        <w:rPr>
          <w:rFonts w:hint="eastAsia" w:ascii="楷体_GB2312" w:hAnsi="楷体" w:eastAsia="楷体_GB2312"/>
          <w:sz w:val="28"/>
          <w:szCs w:val="28"/>
        </w:rPr>
        <w:t>第一章  响应须知</w:t>
      </w:r>
    </w:p>
    <w:p>
      <w:pPr>
        <w:adjustRightInd w:val="0"/>
        <w:snapToGrid w:val="0"/>
        <w:spacing w:line="360" w:lineRule="auto"/>
        <w:ind w:firstLine="560" w:firstLineChars="200"/>
        <w:jc w:val="left"/>
        <w:rPr>
          <w:rFonts w:ascii="楷体_GB2312" w:hAnsi="楷体" w:eastAsia="楷体_GB2312"/>
          <w:sz w:val="28"/>
          <w:szCs w:val="28"/>
        </w:rPr>
      </w:pPr>
      <w:r>
        <w:rPr>
          <w:rFonts w:hint="eastAsia" w:ascii="楷体_GB2312" w:hAnsi="楷体" w:eastAsia="楷体_GB2312"/>
          <w:sz w:val="28"/>
          <w:szCs w:val="28"/>
        </w:rPr>
        <w:t>第二章  响应文件的组成及要求</w:t>
      </w:r>
    </w:p>
    <w:p>
      <w:pPr>
        <w:adjustRightInd w:val="0"/>
        <w:snapToGrid w:val="0"/>
        <w:spacing w:line="360" w:lineRule="auto"/>
        <w:ind w:firstLine="560" w:firstLineChars="200"/>
        <w:jc w:val="left"/>
        <w:rPr>
          <w:rFonts w:ascii="楷体_GB2312" w:hAnsi="楷体" w:eastAsia="楷体_GB2312"/>
          <w:sz w:val="28"/>
          <w:szCs w:val="28"/>
        </w:rPr>
      </w:pPr>
      <w:r>
        <w:rPr>
          <w:rFonts w:hint="eastAsia" w:ascii="楷体_GB2312" w:hAnsi="楷体" w:eastAsia="楷体_GB2312"/>
          <w:sz w:val="28"/>
          <w:szCs w:val="28"/>
        </w:rPr>
        <w:t>第三章  响应文件的评定</w:t>
      </w:r>
    </w:p>
    <w:p>
      <w:pPr>
        <w:adjustRightInd w:val="0"/>
        <w:snapToGrid w:val="0"/>
        <w:spacing w:line="360" w:lineRule="auto"/>
        <w:ind w:firstLine="560" w:firstLineChars="200"/>
        <w:jc w:val="left"/>
        <w:rPr>
          <w:rFonts w:ascii="楷体_GB2312" w:hAnsi="楷体" w:eastAsia="楷体_GB2312"/>
          <w:sz w:val="28"/>
          <w:szCs w:val="28"/>
        </w:rPr>
      </w:pPr>
      <w:r>
        <w:rPr>
          <w:rFonts w:hint="eastAsia" w:ascii="楷体_GB2312" w:hAnsi="楷体" w:eastAsia="楷体_GB2312"/>
          <w:sz w:val="28"/>
          <w:szCs w:val="28"/>
        </w:rPr>
        <w:t>第四章  成交公告</w:t>
      </w:r>
    </w:p>
    <w:p>
      <w:pPr>
        <w:adjustRightInd w:val="0"/>
        <w:snapToGrid w:val="0"/>
        <w:spacing w:line="360" w:lineRule="auto"/>
        <w:ind w:firstLine="560" w:firstLineChars="200"/>
        <w:jc w:val="left"/>
        <w:rPr>
          <w:rFonts w:ascii="楷体_GB2312" w:hAnsi="楷体" w:eastAsia="楷体_GB2312"/>
          <w:sz w:val="28"/>
          <w:szCs w:val="28"/>
        </w:rPr>
      </w:pPr>
      <w:r>
        <w:rPr>
          <w:rFonts w:hint="eastAsia" w:ascii="楷体_GB2312" w:hAnsi="楷体" w:eastAsia="楷体_GB2312"/>
          <w:sz w:val="28"/>
          <w:szCs w:val="28"/>
        </w:rPr>
        <w:t xml:space="preserve">第五章  采购项目数量、要求 </w:t>
      </w:r>
    </w:p>
    <w:p>
      <w:pPr>
        <w:adjustRightInd w:val="0"/>
        <w:snapToGrid w:val="0"/>
        <w:spacing w:line="360" w:lineRule="auto"/>
        <w:ind w:firstLine="1680" w:firstLineChars="600"/>
        <w:jc w:val="left"/>
        <w:rPr>
          <w:rFonts w:ascii="楷体_GB2312" w:hAnsi="楷体" w:eastAsia="楷体_GB2312"/>
          <w:sz w:val="28"/>
          <w:szCs w:val="28"/>
        </w:rPr>
      </w:pPr>
      <w:r>
        <w:rPr>
          <w:rFonts w:hint="eastAsia" w:ascii="楷体_GB2312" w:hAnsi="楷体" w:eastAsia="楷体_GB2312"/>
          <w:sz w:val="28"/>
          <w:szCs w:val="28"/>
        </w:rPr>
        <w:t>附件</w:t>
      </w:r>
    </w:p>
    <w:p>
      <w:pPr>
        <w:pStyle w:val="3"/>
      </w:pPr>
    </w:p>
    <w:p>
      <w:pPr>
        <w:adjustRightInd w:val="0"/>
        <w:snapToGrid w:val="0"/>
        <w:spacing w:line="360" w:lineRule="auto"/>
        <w:ind w:firstLine="480" w:firstLineChars="200"/>
        <w:jc w:val="left"/>
        <w:rPr>
          <w:rFonts w:ascii="楷体_GB2312" w:hAnsi="楷体" w:eastAsia="楷体_GB2312"/>
          <w:sz w:val="24"/>
        </w:rPr>
      </w:pPr>
    </w:p>
    <w:p>
      <w:pPr>
        <w:adjustRightInd w:val="0"/>
        <w:snapToGrid w:val="0"/>
        <w:spacing w:line="360" w:lineRule="auto"/>
        <w:ind w:firstLine="480" w:firstLineChars="200"/>
        <w:jc w:val="left"/>
        <w:rPr>
          <w:rFonts w:ascii="楷体_GB2312" w:hAnsi="楷体" w:eastAsia="楷体_GB2312"/>
          <w:sz w:val="24"/>
        </w:rPr>
      </w:pPr>
    </w:p>
    <w:p>
      <w:pPr>
        <w:adjustRightInd w:val="0"/>
        <w:snapToGrid w:val="0"/>
        <w:spacing w:line="360" w:lineRule="auto"/>
        <w:ind w:firstLine="480" w:firstLineChars="200"/>
        <w:jc w:val="left"/>
        <w:rPr>
          <w:rFonts w:ascii="楷体_GB2312" w:hAnsi="楷体" w:eastAsia="楷体_GB2312"/>
          <w:sz w:val="24"/>
        </w:rPr>
      </w:pPr>
    </w:p>
    <w:p>
      <w:pPr>
        <w:adjustRightInd w:val="0"/>
        <w:snapToGrid w:val="0"/>
        <w:spacing w:line="360" w:lineRule="auto"/>
        <w:jc w:val="left"/>
        <w:rPr>
          <w:rFonts w:ascii="楷体_GB2312" w:hAnsi="楷体" w:eastAsia="楷体_GB2312"/>
          <w:sz w:val="24"/>
        </w:rPr>
      </w:pPr>
    </w:p>
    <w:p>
      <w:pPr>
        <w:pageBreakBefore/>
        <w:adjustRightInd w:val="0"/>
        <w:snapToGrid w:val="0"/>
        <w:spacing w:line="360" w:lineRule="auto"/>
        <w:jc w:val="center"/>
        <w:rPr>
          <w:rFonts w:ascii="楷体_GB2312" w:hAnsi="楷体" w:eastAsia="楷体_GB2312"/>
          <w:sz w:val="32"/>
          <w:szCs w:val="32"/>
        </w:rPr>
      </w:pPr>
      <w:r>
        <w:rPr>
          <w:rFonts w:hint="eastAsia" w:ascii="楷体_GB2312" w:hAnsi="楷体" w:eastAsia="楷体_GB2312"/>
          <w:sz w:val="32"/>
          <w:szCs w:val="32"/>
        </w:rPr>
        <w:t>第一章  响应须知</w:t>
      </w:r>
    </w:p>
    <w:p>
      <w:pPr>
        <w:widowControl/>
        <w:snapToGrid w:val="0"/>
        <w:spacing w:line="360" w:lineRule="auto"/>
        <w:jc w:val="center"/>
        <w:rPr>
          <w:rFonts w:ascii="楷体_GB2312" w:hAnsi="宋体" w:eastAsia="楷体_GB2312" w:cs="宋体"/>
          <w:b/>
          <w:kern w:val="0"/>
          <w:sz w:val="32"/>
          <w:szCs w:val="32"/>
        </w:rPr>
      </w:pPr>
      <w:bookmarkStart w:id="0" w:name="OLE_LINK1"/>
      <w:r>
        <w:rPr>
          <w:rFonts w:hint="eastAsia" w:ascii="楷体_GB2312" w:hAnsi="宋体" w:eastAsia="楷体_GB2312" w:cs="宋体"/>
          <w:b/>
          <w:kern w:val="0"/>
          <w:sz w:val="32"/>
          <w:szCs w:val="32"/>
        </w:rPr>
        <w:t>芙蓉初级中学厨房排风新风系统和厨房设备采购</w:t>
      </w:r>
    </w:p>
    <w:p>
      <w:pPr>
        <w:widowControl/>
        <w:snapToGrid w:val="0"/>
        <w:spacing w:line="360" w:lineRule="auto"/>
        <w:jc w:val="center"/>
        <w:rPr>
          <w:rFonts w:ascii="楷体_GB2312" w:hAnsi="??" w:eastAsia="楷体_GB2312" w:cs="宋体"/>
          <w:b/>
          <w:kern w:val="0"/>
          <w:szCs w:val="21"/>
        </w:rPr>
      </w:pPr>
      <w:r>
        <w:rPr>
          <w:rFonts w:hint="eastAsia" w:ascii="楷体_GB2312" w:hAnsi="宋体" w:eastAsia="楷体_GB2312" w:cs="宋体"/>
          <w:b/>
          <w:kern w:val="0"/>
          <w:sz w:val="32"/>
          <w:szCs w:val="32"/>
        </w:rPr>
        <w:t>询价公告</w:t>
      </w:r>
    </w:p>
    <w:bookmarkEnd w:id="0"/>
    <w:p>
      <w:pPr>
        <w:widowControl/>
        <w:snapToGrid w:val="0"/>
        <w:spacing w:line="360" w:lineRule="auto"/>
        <w:ind w:firstLine="480" w:firstLineChars="200"/>
        <w:jc w:val="left"/>
        <w:rPr>
          <w:rFonts w:ascii="楷体_GB2312" w:hAnsi="??" w:eastAsia="楷体_GB2312" w:cs="宋体"/>
          <w:kern w:val="0"/>
          <w:szCs w:val="21"/>
        </w:rPr>
      </w:pPr>
      <w:r>
        <w:rPr>
          <w:rFonts w:hint="eastAsia" w:ascii="楷体_GB2312" w:hAnsi="楷体" w:eastAsia="楷体_GB2312"/>
          <w:sz w:val="24"/>
        </w:rPr>
        <w:t>江苏昊丰润全建设项目管理有限公司受常州市武进区芙蓉初级中学的委托</w:t>
      </w:r>
      <w:r>
        <w:rPr>
          <w:rFonts w:hint="eastAsia" w:ascii="楷体_GB2312" w:hAnsi="宋体" w:eastAsia="楷体_GB2312" w:cs="宋体"/>
          <w:kern w:val="0"/>
          <w:sz w:val="24"/>
        </w:rPr>
        <w:t>，就</w:t>
      </w:r>
      <w:r>
        <w:rPr>
          <w:rFonts w:hint="eastAsia" w:ascii="楷体_GB2312" w:hAnsi="宋体" w:eastAsia="楷体_GB2312" w:cs="宋体"/>
          <w:b/>
          <w:kern w:val="0"/>
          <w:sz w:val="24"/>
          <w:u w:val="single"/>
        </w:rPr>
        <w:t>芙蓉初级中学厨房排风新风系统和厨房设备采购</w:t>
      </w:r>
      <w:r>
        <w:rPr>
          <w:rFonts w:hint="eastAsia" w:ascii="楷体_GB2312" w:hAnsi="宋体" w:eastAsia="楷体_GB2312" w:cs="宋体"/>
          <w:kern w:val="0"/>
          <w:sz w:val="24"/>
        </w:rPr>
        <w:t>进行询价采购，现邀请符合条件的供应商参加报价。</w:t>
      </w:r>
    </w:p>
    <w:p>
      <w:pPr>
        <w:widowControl/>
        <w:snapToGrid w:val="0"/>
        <w:spacing w:line="360" w:lineRule="auto"/>
        <w:ind w:firstLine="480" w:firstLineChars="200"/>
        <w:jc w:val="left"/>
        <w:rPr>
          <w:rFonts w:ascii="楷体_GB2312" w:hAnsi="??" w:eastAsia="楷体_GB2312" w:cs="宋体"/>
          <w:kern w:val="0"/>
          <w:szCs w:val="21"/>
        </w:rPr>
      </w:pPr>
      <w:r>
        <w:rPr>
          <w:rFonts w:hint="eastAsia" w:ascii="楷体_GB2312" w:hAnsi="宋体" w:eastAsia="楷体_GB2312" w:cs="宋体"/>
          <w:kern w:val="0"/>
          <w:sz w:val="24"/>
        </w:rPr>
        <w:t>一、采购项目名称和编号</w:t>
      </w:r>
    </w:p>
    <w:p>
      <w:pPr>
        <w:widowControl/>
        <w:snapToGrid w:val="0"/>
        <w:spacing w:line="360" w:lineRule="auto"/>
        <w:ind w:firstLine="480" w:firstLineChars="200"/>
        <w:jc w:val="left"/>
        <w:rPr>
          <w:rFonts w:ascii="楷体_GB2312" w:hAnsi="宋体" w:eastAsia="楷体_GB2312" w:cs="宋体"/>
          <w:kern w:val="0"/>
          <w:sz w:val="24"/>
        </w:rPr>
      </w:pPr>
      <w:r>
        <w:rPr>
          <w:rFonts w:hint="eastAsia" w:ascii="楷体_GB2312" w:hAnsi="宋体" w:eastAsia="楷体_GB2312" w:cs="宋体"/>
          <w:kern w:val="0"/>
          <w:sz w:val="24"/>
        </w:rPr>
        <w:t>1、项目名称：芙蓉初级中学厨房排风新风系统和厨房设备采购</w:t>
      </w:r>
    </w:p>
    <w:p>
      <w:pPr>
        <w:widowControl/>
        <w:snapToGrid w:val="0"/>
        <w:spacing w:line="360" w:lineRule="auto"/>
        <w:ind w:firstLine="480" w:firstLineChars="200"/>
        <w:jc w:val="left"/>
        <w:rPr>
          <w:rFonts w:ascii="楷体_GB2312" w:hAnsi="宋体" w:eastAsia="楷体_GB2312" w:cs="宋体"/>
          <w:kern w:val="0"/>
          <w:sz w:val="24"/>
        </w:rPr>
      </w:pPr>
      <w:r>
        <w:rPr>
          <w:rFonts w:hint="eastAsia" w:ascii="楷体_GB2312" w:hAnsi="宋体" w:eastAsia="楷体_GB2312" w:cs="宋体"/>
          <w:kern w:val="0"/>
          <w:sz w:val="24"/>
        </w:rPr>
        <w:t>2、项目编号：昊丰采询[2021]001号</w:t>
      </w:r>
    </w:p>
    <w:p>
      <w:pPr>
        <w:widowControl/>
        <w:snapToGrid w:val="0"/>
        <w:spacing w:line="360" w:lineRule="auto"/>
        <w:ind w:firstLine="480" w:firstLineChars="200"/>
        <w:jc w:val="left"/>
        <w:rPr>
          <w:rFonts w:ascii="楷体_GB2312" w:hAnsi="楷体" w:eastAsia="楷体_GB2312"/>
          <w:sz w:val="24"/>
        </w:rPr>
      </w:pPr>
      <w:r>
        <w:rPr>
          <w:rFonts w:hint="eastAsia" w:ascii="楷体_GB2312" w:hAnsi="宋体" w:eastAsia="楷体_GB2312" w:cs="宋体"/>
          <w:kern w:val="0"/>
          <w:sz w:val="24"/>
        </w:rPr>
        <w:t>3、项目内容：</w:t>
      </w:r>
      <w:r>
        <w:rPr>
          <w:rFonts w:hint="eastAsia" w:ascii="楷体_GB2312" w:hAnsi="楷体" w:eastAsia="楷体_GB2312"/>
          <w:sz w:val="24"/>
        </w:rPr>
        <w:t>见询价</w:t>
      </w:r>
      <w:r>
        <w:rPr>
          <w:rFonts w:ascii="楷体_GB2312" w:hAnsi="楷体" w:eastAsia="楷体_GB2312"/>
          <w:sz w:val="24"/>
        </w:rPr>
        <w:t>文件</w:t>
      </w:r>
      <w:r>
        <w:rPr>
          <w:rFonts w:hint="eastAsia" w:ascii="楷体_GB2312" w:hAnsi="楷体" w:eastAsia="楷体_GB2312"/>
          <w:sz w:val="24"/>
        </w:rPr>
        <w:t>第五章</w:t>
      </w:r>
    </w:p>
    <w:p>
      <w:pPr>
        <w:widowControl/>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4、预算金额：29.8万元</w:t>
      </w:r>
    </w:p>
    <w:p>
      <w:pPr>
        <w:widowControl/>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5、最高限价：29.8万元</w:t>
      </w:r>
    </w:p>
    <w:p>
      <w:pPr>
        <w:widowControl/>
        <w:snapToGrid w:val="0"/>
        <w:spacing w:line="360" w:lineRule="auto"/>
        <w:ind w:firstLine="480" w:firstLineChars="200"/>
        <w:jc w:val="left"/>
        <w:rPr>
          <w:rFonts w:ascii="楷体_GB2312" w:hAnsi="宋体" w:eastAsia="楷体_GB2312" w:cs="宋体"/>
          <w:kern w:val="0"/>
          <w:sz w:val="24"/>
        </w:rPr>
      </w:pPr>
      <w:r>
        <w:rPr>
          <w:rFonts w:hint="eastAsia" w:ascii="楷体_GB2312" w:hAnsi="宋体" w:eastAsia="楷体_GB2312" w:cs="宋体"/>
          <w:kern w:val="0"/>
          <w:sz w:val="24"/>
        </w:rPr>
        <w:t>二、供应商的资格要求</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1.满足《中华人民共和国政府采购法》第二十二条规定；</w:t>
      </w:r>
    </w:p>
    <w:p>
      <w:pPr>
        <w:pStyle w:val="2"/>
        <w:ind w:firstLine="720" w:firstLineChars="300"/>
        <w:rPr>
          <w:rFonts w:eastAsia="楷体_GB2312"/>
        </w:rPr>
      </w:pPr>
      <w:r>
        <w:rPr>
          <w:rFonts w:hint="eastAsia" w:ascii="楷体_GB2312" w:hAnsi="楷体" w:eastAsia="楷体_GB2312"/>
          <w:sz w:val="24"/>
        </w:rPr>
        <w:t>含下列情形：</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（1）未被“信用中国”网站（WWW.creditchina.gov.cn）或“中国政府采购网”网站（www.ccgp.gov.cn）列入失信被执行人、重大税收违法案件当事人名单、政府采购严重失信行为记录名单；</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（2）单位负责人为同一人或者存在直接控股、管理关系的不同供应商（包含法定代表人为同一个人的两个及两个以上法人，母公司、全资子公司及其控股公司），不得参加同一合同项下的政府采购活动。</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2.落实政府采购政策需满足的资格要求：无。</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3.其他要求条件：营业执照范围必须包含本项目相关设备的生产或经销。</w:t>
      </w:r>
    </w:p>
    <w:p>
      <w:pPr>
        <w:pStyle w:val="2"/>
        <w:ind w:firstLine="480" w:firstLineChars="200"/>
      </w:pPr>
      <w:r>
        <w:rPr>
          <w:rFonts w:hint="eastAsia" w:ascii="楷体_GB2312" w:hAnsi="楷体" w:eastAsia="楷体_GB2312"/>
          <w:sz w:val="24"/>
        </w:rPr>
        <w:t>4.本次询价</w:t>
      </w:r>
      <w:r>
        <w:rPr>
          <w:rFonts w:hint="eastAsia" w:ascii="楷体_GB2312" w:hAnsi="楷体" w:eastAsia="楷体_GB2312"/>
          <w:sz w:val="24"/>
          <w:u w:val="single"/>
        </w:rPr>
        <w:t>不接受</w:t>
      </w:r>
      <w:r>
        <w:rPr>
          <w:rFonts w:hint="eastAsia" w:ascii="楷体_GB2312" w:hAnsi="楷体" w:eastAsia="楷体_GB2312"/>
          <w:sz w:val="24"/>
        </w:rPr>
        <w:t>联合体报价。</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三、时间安排等事项：</w:t>
      </w:r>
    </w:p>
    <w:p>
      <w:pPr>
        <w:adjustRightInd w:val="0"/>
        <w:snapToGrid w:val="0"/>
        <w:spacing w:line="360" w:lineRule="auto"/>
        <w:ind w:right="-143" w:rightChars="-68" w:firstLine="480" w:firstLineChars="200"/>
        <w:jc w:val="left"/>
        <w:rPr>
          <w:rFonts w:ascii="楷体_GB2312" w:hAnsi="楷体" w:eastAsia="楷体_GB2312"/>
          <w:sz w:val="24"/>
        </w:rPr>
      </w:pPr>
      <w:r>
        <w:rPr>
          <w:rFonts w:ascii="楷体_GB2312" w:hAnsi="楷体" w:eastAsia="楷体_GB2312"/>
          <w:sz w:val="24"/>
        </w:rPr>
        <w:t>1</w:t>
      </w:r>
      <w:r>
        <w:rPr>
          <w:rFonts w:hint="eastAsia" w:ascii="楷体_GB2312" w:hAnsi="楷体" w:eastAsia="楷体_GB2312"/>
          <w:sz w:val="24"/>
        </w:rPr>
        <w:t>、采购文件的获取：</w:t>
      </w:r>
      <w:r>
        <w:rPr>
          <w:rFonts w:hint="eastAsia" w:ascii="楷体_GB2312" w:hAnsi="楷体" w:eastAsia="楷体_GB2312"/>
          <w:sz w:val="24"/>
          <w:highlight w:val="yellow"/>
        </w:rPr>
        <w:t>自2021年</w:t>
      </w:r>
      <w:r>
        <w:rPr>
          <w:rFonts w:hint="eastAsia" w:ascii="楷体_GB2312" w:hAnsi="楷体" w:eastAsia="楷体_GB2312"/>
          <w:sz w:val="24"/>
          <w:highlight w:val="yellow"/>
          <w:lang w:val="en-US" w:eastAsia="zh-CN"/>
        </w:rPr>
        <w:t>05</w:t>
      </w:r>
      <w:r>
        <w:rPr>
          <w:rFonts w:hint="eastAsia" w:ascii="楷体_GB2312" w:hAnsi="楷体" w:eastAsia="楷体_GB2312"/>
          <w:sz w:val="24"/>
          <w:highlight w:val="yellow"/>
        </w:rPr>
        <w:t>月</w:t>
      </w:r>
      <w:r>
        <w:rPr>
          <w:rFonts w:hint="eastAsia" w:ascii="楷体_GB2312" w:hAnsi="楷体" w:eastAsia="楷体_GB2312"/>
          <w:sz w:val="24"/>
          <w:highlight w:val="yellow"/>
          <w:lang w:val="en-US" w:eastAsia="zh-CN"/>
        </w:rPr>
        <w:t>10</w:t>
      </w:r>
      <w:r>
        <w:rPr>
          <w:rFonts w:hint="eastAsia" w:ascii="楷体_GB2312" w:hAnsi="楷体" w:eastAsia="楷体_GB2312"/>
          <w:sz w:val="24"/>
          <w:highlight w:val="yellow"/>
        </w:rPr>
        <w:t>日</w:t>
      </w:r>
      <w:r>
        <w:rPr>
          <w:rFonts w:hint="eastAsia" w:ascii="楷体_GB2312" w:hAnsi="楷体" w:eastAsia="楷体_GB2312"/>
          <w:sz w:val="24"/>
        </w:rPr>
        <w:t>起在江苏昊丰润全建设项目管理有限公司网站</w:t>
      </w:r>
      <w:r>
        <w:rPr>
          <w:rFonts w:hint="eastAsia" w:ascii="楷体_GB2312" w:hAnsi="宋体" w:eastAsia="楷体_GB2312"/>
          <w:sz w:val="24"/>
          <w:szCs w:val="28"/>
        </w:rPr>
        <w:t>（http://www.jshfrq.com/</w:t>
      </w:r>
      <w:r>
        <w:rPr>
          <w:rFonts w:ascii="楷体_GB2312" w:hAnsi="宋体" w:eastAsia="楷体_GB2312"/>
          <w:sz w:val="24"/>
          <w:szCs w:val="28"/>
        </w:rPr>
        <w:t>）</w:t>
      </w:r>
      <w:r>
        <w:rPr>
          <w:rFonts w:hint="eastAsia" w:ascii="楷体_GB2312" w:hAnsi="楷体" w:eastAsia="楷体_GB2312"/>
          <w:sz w:val="24"/>
        </w:rPr>
        <w:t>获取。</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2、响应文件份数：正本一份，副本二份。</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3、响应文件的接收：</w:t>
      </w:r>
      <w:r>
        <w:rPr>
          <w:rFonts w:hint="eastAsia" w:ascii="楷体_GB2312" w:hAnsi="楷体" w:eastAsia="楷体_GB2312"/>
          <w:sz w:val="24"/>
          <w:highlight w:val="yellow"/>
        </w:rPr>
        <w:t>2021年05月</w:t>
      </w:r>
      <w:r>
        <w:rPr>
          <w:rFonts w:hint="eastAsia" w:ascii="楷体_GB2312" w:hAnsi="楷体" w:eastAsia="楷体_GB2312"/>
          <w:sz w:val="24"/>
          <w:highlight w:val="yellow"/>
          <w:lang w:val="en-US" w:eastAsia="zh-CN"/>
        </w:rPr>
        <w:t>14</w:t>
      </w:r>
      <w:r>
        <w:rPr>
          <w:rFonts w:hint="eastAsia" w:ascii="楷体_GB2312" w:hAnsi="楷体" w:eastAsia="楷体_GB2312"/>
          <w:sz w:val="24"/>
          <w:highlight w:val="yellow"/>
        </w:rPr>
        <w:t>日14</w:t>
      </w:r>
      <w:r>
        <w:rPr>
          <w:rFonts w:ascii="楷体_GB2312" w:hAnsi="楷体" w:eastAsia="楷体_GB2312"/>
          <w:sz w:val="24"/>
          <w:highlight w:val="yellow"/>
        </w:rPr>
        <w:t>:</w:t>
      </w:r>
      <w:r>
        <w:rPr>
          <w:rFonts w:hint="eastAsia" w:ascii="楷体_GB2312" w:hAnsi="楷体" w:eastAsia="楷体_GB2312"/>
          <w:sz w:val="24"/>
          <w:highlight w:val="yellow"/>
        </w:rPr>
        <w:t>0</w:t>
      </w:r>
      <w:r>
        <w:rPr>
          <w:rFonts w:ascii="楷体_GB2312" w:hAnsi="楷体" w:eastAsia="楷体_GB2312"/>
          <w:sz w:val="24"/>
          <w:highlight w:val="yellow"/>
        </w:rPr>
        <w:t>0前</w:t>
      </w:r>
      <w:r>
        <w:rPr>
          <w:rFonts w:hint="eastAsia" w:ascii="楷体_GB2312" w:hAnsi="楷体" w:eastAsia="楷体_GB2312"/>
          <w:sz w:val="24"/>
        </w:rPr>
        <w:t>，响应文件密封送至武进区横山桥镇公共资源交易管理站（具体地址：常州市武进区横山桥镇行政服务中心2号楼210室），询价截止期后送达的响应文件恕不接受。</w:t>
      </w:r>
    </w:p>
    <w:p>
      <w:pPr>
        <w:adjustRightInd w:val="0"/>
        <w:snapToGrid w:val="0"/>
        <w:spacing w:line="360" w:lineRule="auto"/>
        <w:ind w:firstLine="480" w:firstLineChars="200"/>
        <w:jc w:val="left"/>
        <w:rPr>
          <w:rFonts w:ascii="楷体_GB2312" w:hAnsi="楷体" w:eastAsia="楷体_GB2312"/>
          <w:sz w:val="24"/>
        </w:rPr>
      </w:pPr>
      <w:r>
        <w:rPr>
          <w:rFonts w:ascii="楷体_GB2312" w:hAnsi="楷体" w:eastAsia="楷体_GB2312"/>
          <w:sz w:val="24"/>
        </w:rPr>
        <w:t>4</w:t>
      </w:r>
      <w:r>
        <w:rPr>
          <w:rFonts w:hint="eastAsia" w:ascii="楷体_GB2312" w:hAnsi="楷体" w:eastAsia="楷体_GB2312"/>
          <w:sz w:val="24"/>
        </w:rPr>
        <w:t>、接受时间截止后，询价小组开始进行资格审查并评审响应文件。</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5、报价保证金：</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户名:江苏昊丰润全建设项目管理有限公司</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账号：32050162673800000547</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开户银行：中国建设银行股份有限公司常州湖塘支行</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（2）报价保证金金额：</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 xml:space="preserve"> 每单位每标段人民币伍仟元。  </w:t>
      </w:r>
    </w:p>
    <w:p>
      <w:pPr>
        <w:spacing w:line="360" w:lineRule="auto"/>
        <w:ind w:firstLine="480" w:firstLineChars="200"/>
        <w:jc w:val="left"/>
        <w:rPr>
          <w:rFonts w:ascii="楷体_GB2312" w:hAnsi="楷体" w:eastAsia="楷体_GB2312"/>
          <w:sz w:val="24"/>
        </w:rPr>
      </w:pPr>
      <w:r>
        <w:rPr>
          <w:rFonts w:hint="eastAsia" w:ascii="楷体_GB2312" w:hAnsi="楷体" w:eastAsia="楷体_GB2312"/>
          <w:sz w:val="24"/>
        </w:rPr>
        <w:t>（3）投标单位必须用转帐支票、电汇、网上银行等方式（现金除外）自行将保证金从基本帐户解进到保证金专用帐户，然后凭银行进帐单到江苏昊丰润全建设项目管理有限公司开具投标保证金付款凭证（投标保证金付款凭证必须在</w:t>
      </w:r>
      <w:r>
        <w:rPr>
          <w:rFonts w:hint="eastAsia" w:ascii="楷体_GB2312" w:hAnsi="楷体" w:eastAsia="楷体_GB2312"/>
          <w:b/>
          <w:bCs/>
          <w:sz w:val="24"/>
          <w:highlight w:val="yellow"/>
        </w:rPr>
        <w:t>2021年05月</w:t>
      </w:r>
      <w:r>
        <w:rPr>
          <w:rFonts w:hint="eastAsia" w:ascii="楷体_GB2312" w:hAnsi="楷体" w:eastAsia="楷体_GB2312"/>
          <w:b/>
          <w:bCs/>
          <w:sz w:val="24"/>
          <w:highlight w:val="yellow"/>
          <w:lang w:val="en-US" w:eastAsia="zh-CN"/>
        </w:rPr>
        <w:t>12</w:t>
      </w:r>
      <w:r>
        <w:rPr>
          <w:rFonts w:hint="eastAsia" w:ascii="楷体_GB2312" w:hAnsi="楷体" w:eastAsia="楷体_GB2312"/>
          <w:b/>
          <w:bCs/>
          <w:sz w:val="24"/>
          <w:highlight w:val="yellow"/>
        </w:rPr>
        <w:t>日下午16：30</w:t>
      </w:r>
      <w:r>
        <w:rPr>
          <w:rFonts w:hint="eastAsia" w:ascii="楷体_GB2312" w:hAnsi="楷体" w:eastAsia="楷体_GB2312"/>
          <w:sz w:val="24"/>
        </w:rPr>
        <w:t>之前换取，并于递交投标文件时出示原件），任何未按上述规定及公告要求的时间、方式、金额缴纳投标保证金的申请人将被拒绝。（任何未按上述规定及要求金额缴纳保证金的投标人将被拒绝。）</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4）投标保证金的退还：中标人的投标保证金，在招标人与中标人签订合同并且产品安装到位后五个工作日内退还；其余投标人的投标保证金，在中标公示无异议后五个工作日内退还。投标保证金退还至缴纳账户。</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四、特别说明：</w:t>
      </w:r>
    </w:p>
    <w:p>
      <w:pPr>
        <w:ind w:firstLine="480" w:firstLineChars="200"/>
        <w:rPr>
          <w:rFonts w:ascii="楷体_GB2312" w:hAnsi="楷体" w:eastAsia="楷体_GB2312"/>
          <w:sz w:val="24"/>
        </w:rPr>
      </w:pPr>
      <w:r>
        <w:rPr>
          <w:rFonts w:hint="eastAsia" w:ascii="楷体_GB2312" w:hAnsi="楷体" w:eastAsia="楷体_GB2312"/>
          <w:sz w:val="24"/>
        </w:rPr>
        <w:t>参加报价的供应商若认为询价文件的资格要求和技术要求有倾向性或不公正性，可在询价截止期</w:t>
      </w:r>
      <w:r>
        <w:rPr>
          <w:rFonts w:ascii="楷体_GB2312" w:hAnsi="楷体" w:eastAsia="楷体_GB2312"/>
          <w:sz w:val="24"/>
        </w:rPr>
        <w:t>2</w:t>
      </w:r>
      <w:r>
        <w:rPr>
          <w:rFonts w:hint="eastAsia" w:ascii="楷体_GB2312" w:hAnsi="楷体" w:eastAsia="楷体_GB2312"/>
          <w:sz w:val="24"/>
        </w:rPr>
        <w:t>日前以书面形式向江苏昊丰润全建设项目管理有限公司提出。对于没有提出澄清要求又参与了该项目的供应商将被视为完全认同该询价文件，询价截止期后不再受理针对询价文件的相关质疑和投诉。</w:t>
      </w:r>
    </w:p>
    <w:p>
      <w:pPr>
        <w:rPr>
          <w:rFonts w:ascii="楷体_GB2312" w:hAnsi="楷体" w:eastAsia="楷体_GB2312"/>
          <w:sz w:val="24"/>
        </w:rPr>
      </w:pPr>
    </w:p>
    <w:p>
      <w:pPr>
        <w:pStyle w:val="47"/>
        <w:numPr>
          <w:ilvl w:val="0"/>
          <w:numId w:val="1"/>
        </w:numPr>
        <w:adjustRightInd w:val="0"/>
        <w:snapToGrid w:val="0"/>
        <w:spacing w:line="360" w:lineRule="auto"/>
        <w:ind w:firstLineChars="0"/>
        <w:jc w:val="left"/>
        <w:rPr>
          <w:rFonts w:ascii="楷体_GB2312" w:hAnsi="楷体" w:eastAsia="楷体_GB2312"/>
          <w:sz w:val="24"/>
        </w:rPr>
      </w:pPr>
      <w:r>
        <w:rPr>
          <w:rFonts w:hint="eastAsia" w:ascii="楷体_GB2312" w:hAnsi="楷体" w:eastAsia="楷体_GB2312"/>
          <w:sz w:val="24"/>
        </w:rPr>
        <w:t xml:space="preserve">本次询价采购联系事项： </w:t>
      </w:r>
    </w:p>
    <w:p>
      <w:pPr>
        <w:adjustRightInd w:val="0"/>
        <w:snapToGrid w:val="0"/>
        <w:spacing w:line="360" w:lineRule="auto"/>
        <w:ind w:left="480"/>
        <w:jc w:val="left"/>
        <w:rPr>
          <w:rFonts w:ascii="楷体_GB2312" w:hAnsi="楷体" w:eastAsia="楷体_GB2312"/>
          <w:sz w:val="24"/>
        </w:rPr>
      </w:pPr>
      <w:r>
        <w:rPr>
          <w:rFonts w:hint="eastAsia" w:ascii="楷体_GB2312" w:hAnsi="楷体" w:eastAsia="楷体_GB2312"/>
          <w:sz w:val="24"/>
        </w:rPr>
        <w:t>（一）</w:t>
      </w:r>
      <w:r>
        <w:rPr>
          <w:rFonts w:ascii="楷体_GB2312" w:hAnsi="楷体" w:eastAsia="楷体_GB2312"/>
          <w:sz w:val="24"/>
        </w:rPr>
        <w:t>采 购 人</w:t>
      </w:r>
      <w:r>
        <w:rPr>
          <w:rFonts w:hint="eastAsia" w:ascii="楷体_GB2312" w:hAnsi="楷体" w:eastAsia="楷体_GB2312"/>
          <w:sz w:val="24"/>
        </w:rPr>
        <w:t>：常州市武进区芙蓉初级中学</w:t>
      </w:r>
    </w:p>
    <w:p>
      <w:pPr>
        <w:adjustRightInd w:val="0"/>
        <w:snapToGrid w:val="0"/>
        <w:spacing w:line="360" w:lineRule="auto"/>
        <w:ind w:firstLine="480" w:firstLineChars="200"/>
        <w:jc w:val="left"/>
        <w:rPr>
          <w:rFonts w:ascii="楷体_GB2312" w:hAnsi="楷体" w:eastAsia="楷体_GB2312"/>
          <w:sz w:val="24"/>
        </w:rPr>
      </w:pPr>
      <w:r>
        <w:rPr>
          <w:rFonts w:ascii="楷体_GB2312" w:hAnsi="楷体" w:eastAsia="楷体_GB2312"/>
          <w:sz w:val="24"/>
        </w:rPr>
        <w:t>联 系 人：</w:t>
      </w:r>
      <w:r>
        <w:rPr>
          <w:rFonts w:hint="eastAsia" w:ascii="楷体_GB2312" w:hAnsi="楷体" w:eastAsia="楷体_GB2312"/>
          <w:sz w:val="24"/>
        </w:rPr>
        <w:t>古奇峰</w:t>
      </w:r>
    </w:p>
    <w:p>
      <w:pPr>
        <w:adjustRightInd w:val="0"/>
        <w:snapToGrid w:val="0"/>
        <w:spacing w:line="360" w:lineRule="auto"/>
        <w:ind w:firstLine="480" w:firstLineChars="200"/>
        <w:jc w:val="left"/>
        <w:rPr>
          <w:rFonts w:ascii="楷体_GB2312" w:hAnsi="楷体" w:eastAsia="楷体_GB2312"/>
          <w:sz w:val="24"/>
        </w:rPr>
      </w:pPr>
      <w:r>
        <w:rPr>
          <w:rFonts w:ascii="楷体_GB2312" w:hAnsi="楷体" w:eastAsia="楷体_GB2312"/>
          <w:sz w:val="24"/>
        </w:rPr>
        <w:t>联系电话：</w:t>
      </w:r>
      <w:r>
        <w:rPr>
          <w:rFonts w:hint="eastAsia" w:ascii="楷体_GB2312" w:hAnsi="楷体_GB2312" w:eastAsia="楷体_GB2312" w:cs="楷体_GB2312"/>
          <w:sz w:val="24"/>
        </w:rPr>
        <w:t>13815070572</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（二）代理单位：江苏昊丰润全建设项目管理有限公司</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地址：</w:t>
      </w:r>
      <w:r>
        <w:rPr>
          <w:rFonts w:hint="eastAsia" w:ascii="楷体_GB2312" w:hAnsi="楷体_GB2312" w:eastAsia="楷体_GB2312" w:cs="楷体_GB2312"/>
          <w:sz w:val="24"/>
        </w:rPr>
        <w:t>武进区武宜中路177号（仲夏酒店）三楼322室</w:t>
      </w:r>
    </w:p>
    <w:p>
      <w:pPr>
        <w:adjustRightInd w:val="0"/>
        <w:snapToGrid w:val="0"/>
        <w:spacing w:line="360" w:lineRule="auto"/>
        <w:ind w:firstLine="480" w:firstLineChars="200"/>
        <w:jc w:val="left"/>
        <w:rPr>
          <w:rFonts w:ascii="楷体_GB2312" w:hAnsi="楷体" w:eastAsia="楷体_GB2312"/>
          <w:sz w:val="24"/>
        </w:rPr>
      </w:pPr>
      <w:r>
        <w:rPr>
          <w:rFonts w:ascii="楷体_GB2312" w:hAnsi="楷体" w:eastAsia="楷体_GB2312"/>
          <w:sz w:val="24"/>
        </w:rPr>
        <w:t>联 系 人：</w:t>
      </w:r>
      <w:r>
        <w:rPr>
          <w:rFonts w:hint="eastAsia" w:ascii="楷体_GB2312" w:hAnsi="楷体" w:eastAsia="楷体_GB2312"/>
          <w:sz w:val="24"/>
        </w:rPr>
        <w:t>封煜</w:t>
      </w:r>
    </w:p>
    <w:p>
      <w:pPr>
        <w:adjustRightInd w:val="0"/>
        <w:snapToGrid w:val="0"/>
        <w:spacing w:line="360" w:lineRule="auto"/>
        <w:ind w:firstLine="480" w:firstLineChars="200"/>
        <w:jc w:val="left"/>
        <w:rPr>
          <w:rFonts w:ascii="楷体_GB2312" w:hAnsi="楷体" w:eastAsia="楷体_GB2312"/>
          <w:sz w:val="24"/>
        </w:rPr>
      </w:pPr>
      <w:r>
        <w:rPr>
          <w:rFonts w:ascii="楷体_GB2312" w:hAnsi="楷体" w:eastAsia="楷体_GB2312"/>
          <w:sz w:val="24"/>
        </w:rPr>
        <w:t>联系电话：</w:t>
      </w:r>
      <w:r>
        <w:rPr>
          <w:rFonts w:hint="eastAsia" w:ascii="楷体_GB2312" w:hAnsi="楷体" w:eastAsia="楷体_GB2312"/>
          <w:sz w:val="24"/>
        </w:rPr>
        <w:t>15961208297</w:t>
      </w:r>
    </w:p>
    <w:p>
      <w:pPr>
        <w:spacing w:line="360" w:lineRule="auto"/>
        <w:ind w:firstLine="480" w:firstLineChars="200"/>
        <w:jc w:val="left"/>
        <w:rPr>
          <w:rFonts w:ascii="楷体_GB2312" w:hAnsi="楷体" w:eastAsia="楷体_GB2312"/>
          <w:sz w:val="24"/>
        </w:rPr>
      </w:pPr>
    </w:p>
    <w:p>
      <w:pPr>
        <w:widowControl/>
        <w:snapToGrid w:val="0"/>
        <w:spacing w:line="360" w:lineRule="auto"/>
        <w:ind w:right="-56"/>
        <w:jc w:val="right"/>
        <w:rPr>
          <w:rFonts w:ascii="楷体_GB2312" w:hAnsi="楷体" w:eastAsia="楷体_GB2312"/>
          <w:sz w:val="24"/>
        </w:rPr>
      </w:pPr>
      <w:r>
        <w:rPr>
          <w:rFonts w:hint="eastAsia" w:ascii="楷体_GB2312" w:hAnsi="楷体" w:eastAsia="楷体_GB2312"/>
          <w:sz w:val="24"/>
        </w:rPr>
        <w:t>常州市武进区芙蓉初级中学</w:t>
      </w:r>
    </w:p>
    <w:p>
      <w:pPr>
        <w:jc w:val="right"/>
        <w:rPr>
          <w:highlight w:val="yellow"/>
        </w:rPr>
      </w:pPr>
      <w:r>
        <w:rPr>
          <w:rFonts w:hint="eastAsia" w:ascii="楷体_GB2312" w:hAnsi="楷体" w:eastAsia="楷体_GB2312"/>
          <w:sz w:val="24"/>
          <w:highlight w:val="yellow"/>
        </w:rPr>
        <w:t>2021年</w:t>
      </w:r>
      <w:r>
        <w:rPr>
          <w:rFonts w:hint="eastAsia" w:ascii="楷体_GB2312" w:hAnsi="楷体" w:eastAsia="楷体_GB2312"/>
          <w:sz w:val="24"/>
          <w:highlight w:val="yellow"/>
          <w:lang w:val="en-US" w:eastAsia="zh-CN"/>
        </w:rPr>
        <w:t>05</w:t>
      </w:r>
      <w:r>
        <w:rPr>
          <w:rFonts w:hint="eastAsia" w:ascii="楷体_GB2312" w:hAnsi="楷体" w:eastAsia="楷体_GB2312"/>
          <w:sz w:val="24"/>
          <w:highlight w:val="yellow"/>
        </w:rPr>
        <w:t>月</w:t>
      </w:r>
      <w:r>
        <w:rPr>
          <w:rFonts w:hint="eastAsia" w:ascii="楷体_GB2312" w:hAnsi="楷体" w:eastAsia="楷体_GB2312"/>
          <w:sz w:val="24"/>
          <w:highlight w:val="yellow"/>
          <w:lang w:val="en-US" w:eastAsia="zh-CN"/>
        </w:rPr>
        <w:t>10</w:t>
      </w:r>
      <w:r>
        <w:rPr>
          <w:rFonts w:hint="eastAsia" w:ascii="楷体_GB2312" w:hAnsi="楷体" w:eastAsia="楷体_GB2312"/>
          <w:sz w:val="24"/>
          <w:highlight w:val="yellow"/>
        </w:rPr>
        <w:t>日</w:t>
      </w:r>
    </w:p>
    <w:p>
      <w:pPr>
        <w:pageBreakBefore/>
        <w:adjustRightInd w:val="0"/>
        <w:snapToGrid w:val="0"/>
        <w:spacing w:line="360" w:lineRule="auto"/>
        <w:jc w:val="center"/>
        <w:rPr>
          <w:rFonts w:ascii="楷体_GB2312" w:hAnsi="楷体" w:eastAsia="楷体_GB2312"/>
          <w:sz w:val="32"/>
          <w:szCs w:val="32"/>
        </w:rPr>
      </w:pPr>
      <w:r>
        <w:rPr>
          <w:rFonts w:hint="eastAsia" w:ascii="楷体_GB2312" w:hAnsi="楷体" w:eastAsia="楷体_GB2312"/>
          <w:sz w:val="32"/>
          <w:szCs w:val="32"/>
        </w:rPr>
        <w:t>第二章  响应文件的制作和递交</w:t>
      </w:r>
    </w:p>
    <w:p>
      <w:pPr>
        <w:adjustRightInd w:val="0"/>
        <w:snapToGrid w:val="0"/>
        <w:spacing w:line="360" w:lineRule="auto"/>
        <w:ind w:firstLine="480" w:firstLineChars="200"/>
        <w:jc w:val="left"/>
        <w:rPr>
          <w:rFonts w:ascii="楷体_GB2312" w:hAnsi="楷体" w:eastAsia="楷体_GB2312"/>
          <w:sz w:val="24"/>
        </w:rPr>
      </w:pP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 xml:space="preserve">  1、响应文件应于响应须知规定的时间之前递交至指定的地点。</w:t>
      </w:r>
    </w:p>
    <w:p>
      <w:pPr>
        <w:adjustRightInd w:val="0"/>
        <w:snapToGrid w:val="0"/>
        <w:spacing w:line="360" w:lineRule="auto"/>
        <w:ind w:firstLine="482" w:firstLineChars="200"/>
        <w:jc w:val="left"/>
        <w:rPr>
          <w:rFonts w:ascii="楷体_GB2312" w:hAnsi="楷体" w:eastAsia="楷体_GB2312"/>
          <w:sz w:val="24"/>
        </w:rPr>
      </w:pPr>
      <w:r>
        <w:rPr>
          <w:rFonts w:hint="eastAsia" w:ascii="楷体_GB2312" w:hAnsi="楷体" w:eastAsia="楷体_GB2312"/>
          <w:b/>
          <w:bCs/>
          <w:sz w:val="24"/>
        </w:rPr>
        <w:t xml:space="preserve"> </w:t>
      </w:r>
      <w:r>
        <w:rPr>
          <w:rFonts w:hint="eastAsia" w:ascii="楷体_GB2312" w:hAnsi="楷体" w:eastAsia="楷体_GB2312"/>
          <w:b/>
          <w:bCs/>
          <w:sz w:val="24"/>
          <w:lang w:val="en-US" w:eastAsia="zh-CN"/>
        </w:rPr>
        <w:t xml:space="preserve"> </w:t>
      </w:r>
      <w:r>
        <w:rPr>
          <w:rFonts w:hint="eastAsia" w:ascii="楷体_GB2312" w:hAnsi="楷体" w:eastAsia="楷体_GB2312"/>
          <w:b/>
          <w:bCs/>
          <w:sz w:val="24"/>
        </w:rPr>
        <w:t>2、响应文件需提供正本一份，副本二份。响应文件的封面及报价单须加盖单位公章、法人代表人或被授权人签字。</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 xml:space="preserve">  3、响应文件必须打印，各项目填写完整、准确，如实填报。</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 xml:space="preserve">  4、报价单位应将响应文件装入封袋密封。封面注明：采购项目编号、报价单位名称、地址、电话和传真，封口处加盖报价单位公章。</w:t>
      </w:r>
    </w:p>
    <w:p>
      <w:pPr>
        <w:adjustRightInd w:val="0"/>
        <w:snapToGrid w:val="0"/>
        <w:spacing w:line="360" w:lineRule="auto"/>
        <w:ind w:firstLine="480" w:firstLineChars="200"/>
        <w:jc w:val="left"/>
        <w:rPr>
          <w:rFonts w:ascii="楷体_GB2312" w:hAnsi="楷体" w:eastAsia="楷体_GB2312"/>
          <w:sz w:val="24"/>
        </w:rPr>
      </w:pPr>
    </w:p>
    <w:p>
      <w:pPr>
        <w:adjustRightInd w:val="0"/>
        <w:snapToGrid w:val="0"/>
        <w:spacing w:line="360" w:lineRule="auto"/>
        <w:ind w:firstLine="480" w:firstLineChars="200"/>
        <w:jc w:val="left"/>
        <w:rPr>
          <w:rFonts w:ascii="楷体_GB2312" w:hAnsi="楷体" w:eastAsia="楷体_GB2312"/>
          <w:sz w:val="24"/>
        </w:rPr>
      </w:pPr>
    </w:p>
    <w:p>
      <w:pPr>
        <w:adjustRightInd w:val="0"/>
        <w:snapToGrid w:val="0"/>
        <w:spacing w:line="360" w:lineRule="auto"/>
        <w:ind w:firstLine="480" w:firstLineChars="200"/>
        <w:jc w:val="left"/>
        <w:rPr>
          <w:rFonts w:ascii="楷体_GB2312" w:hAnsi="楷体" w:eastAsia="楷体_GB2312"/>
          <w:sz w:val="24"/>
        </w:rPr>
      </w:pPr>
    </w:p>
    <w:p>
      <w:pPr>
        <w:adjustRightInd w:val="0"/>
        <w:snapToGrid w:val="0"/>
        <w:spacing w:line="360" w:lineRule="auto"/>
        <w:ind w:firstLine="480" w:firstLineChars="200"/>
        <w:jc w:val="left"/>
        <w:rPr>
          <w:rFonts w:ascii="楷体_GB2312" w:hAnsi="楷体" w:eastAsia="楷体_GB2312"/>
          <w:sz w:val="24"/>
        </w:rPr>
      </w:pPr>
    </w:p>
    <w:p>
      <w:pPr>
        <w:adjustRightInd w:val="0"/>
        <w:snapToGrid w:val="0"/>
        <w:spacing w:line="360" w:lineRule="auto"/>
        <w:ind w:firstLine="480" w:firstLineChars="200"/>
        <w:jc w:val="left"/>
        <w:rPr>
          <w:rFonts w:ascii="楷体_GB2312" w:hAnsi="楷体" w:eastAsia="楷体_GB2312"/>
          <w:sz w:val="24"/>
        </w:rPr>
      </w:pPr>
    </w:p>
    <w:p>
      <w:pPr>
        <w:adjustRightInd w:val="0"/>
        <w:snapToGrid w:val="0"/>
        <w:spacing w:line="360" w:lineRule="auto"/>
        <w:ind w:firstLine="480" w:firstLineChars="200"/>
        <w:jc w:val="left"/>
        <w:rPr>
          <w:rFonts w:ascii="楷体_GB2312" w:hAnsi="楷体" w:eastAsia="楷体_GB2312"/>
          <w:sz w:val="24"/>
        </w:rPr>
      </w:pPr>
    </w:p>
    <w:p>
      <w:pPr>
        <w:adjustRightInd w:val="0"/>
        <w:snapToGrid w:val="0"/>
        <w:spacing w:line="360" w:lineRule="auto"/>
        <w:ind w:firstLine="480" w:firstLineChars="200"/>
        <w:jc w:val="left"/>
        <w:rPr>
          <w:rFonts w:ascii="楷体_GB2312" w:hAnsi="楷体" w:eastAsia="楷体_GB2312"/>
          <w:sz w:val="24"/>
        </w:rPr>
      </w:pPr>
    </w:p>
    <w:p>
      <w:pPr>
        <w:adjustRightInd w:val="0"/>
        <w:snapToGrid w:val="0"/>
        <w:spacing w:line="360" w:lineRule="auto"/>
        <w:ind w:firstLine="480" w:firstLineChars="200"/>
        <w:jc w:val="left"/>
        <w:rPr>
          <w:rFonts w:ascii="楷体_GB2312" w:hAnsi="楷体" w:eastAsia="楷体_GB2312"/>
          <w:sz w:val="24"/>
        </w:rPr>
      </w:pPr>
    </w:p>
    <w:p>
      <w:pPr>
        <w:adjustRightInd w:val="0"/>
        <w:snapToGrid w:val="0"/>
        <w:spacing w:line="360" w:lineRule="auto"/>
        <w:ind w:firstLine="480" w:firstLineChars="200"/>
        <w:jc w:val="left"/>
        <w:rPr>
          <w:rFonts w:ascii="楷体_GB2312" w:hAnsi="楷体" w:eastAsia="楷体_GB2312"/>
          <w:sz w:val="24"/>
        </w:rPr>
      </w:pPr>
    </w:p>
    <w:p>
      <w:pPr>
        <w:adjustRightInd w:val="0"/>
        <w:snapToGrid w:val="0"/>
        <w:spacing w:line="360" w:lineRule="auto"/>
        <w:ind w:firstLine="480" w:firstLineChars="200"/>
        <w:jc w:val="left"/>
        <w:rPr>
          <w:rFonts w:ascii="楷体_GB2312" w:hAnsi="楷体" w:eastAsia="楷体_GB2312"/>
          <w:sz w:val="24"/>
        </w:rPr>
      </w:pPr>
    </w:p>
    <w:p>
      <w:pPr>
        <w:adjustRightInd w:val="0"/>
        <w:snapToGrid w:val="0"/>
        <w:spacing w:line="360" w:lineRule="auto"/>
        <w:ind w:firstLine="480" w:firstLineChars="200"/>
        <w:jc w:val="left"/>
        <w:rPr>
          <w:rFonts w:ascii="楷体_GB2312" w:hAnsi="楷体" w:eastAsia="楷体_GB2312"/>
          <w:sz w:val="24"/>
        </w:rPr>
      </w:pPr>
    </w:p>
    <w:p>
      <w:pPr>
        <w:adjustRightInd w:val="0"/>
        <w:snapToGrid w:val="0"/>
        <w:spacing w:line="360" w:lineRule="auto"/>
        <w:rPr>
          <w:rFonts w:ascii="楷体_GB2312" w:hAnsi="楷体" w:eastAsia="楷体_GB2312"/>
          <w:sz w:val="24"/>
        </w:rPr>
      </w:pPr>
    </w:p>
    <w:p>
      <w:pPr>
        <w:adjustRightInd w:val="0"/>
        <w:snapToGrid w:val="0"/>
        <w:spacing w:line="360" w:lineRule="auto"/>
        <w:jc w:val="center"/>
        <w:rPr>
          <w:rFonts w:ascii="楷体_GB2312" w:hAnsi="楷体" w:eastAsia="楷体_GB2312"/>
          <w:sz w:val="24"/>
        </w:rPr>
      </w:pPr>
    </w:p>
    <w:p>
      <w:pPr>
        <w:pageBreakBefore/>
        <w:adjustRightInd w:val="0"/>
        <w:snapToGrid w:val="0"/>
        <w:spacing w:line="360" w:lineRule="auto"/>
        <w:jc w:val="center"/>
        <w:rPr>
          <w:rFonts w:ascii="楷体_GB2312" w:hAnsi="楷体" w:eastAsia="楷体_GB2312"/>
          <w:sz w:val="32"/>
          <w:szCs w:val="32"/>
        </w:rPr>
      </w:pPr>
      <w:r>
        <w:rPr>
          <w:rFonts w:hint="eastAsia" w:ascii="楷体_GB2312" w:hAnsi="楷体" w:eastAsia="楷体_GB2312"/>
          <w:sz w:val="32"/>
          <w:szCs w:val="32"/>
        </w:rPr>
        <w:t>第三章  响应文件的评定</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一、评定时间：</w:t>
      </w:r>
      <w:r>
        <w:rPr>
          <w:rFonts w:hint="eastAsia" w:ascii="楷体_GB2312" w:hAnsi="楷体" w:eastAsia="楷体_GB2312"/>
          <w:sz w:val="24"/>
          <w:highlight w:val="yellow"/>
        </w:rPr>
        <w:t>2021年05月</w:t>
      </w:r>
      <w:r>
        <w:rPr>
          <w:rFonts w:hint="eastAsia" w:ascii="楷体_GB2312" w:hAnsi="楷体" w:eastAsia="楷体_GB2312"/>
          <w:sz w:val="24"/>
          <w:highlight w:val="yellow"/>
          <w:lang w:val="en-US" w:eastAsia="zh-CN"/>
        </w:rPr>
        <w:t>14</w:t>
      </w:r>
      <w:r>
        <w:rPr>
          <w:rFonts w:hint="eastAsia" w:ascii="楷体_GB2312" w:hAnsi="楷体" w:eastAsia="楷体_GB2312"/>
          <w:sz w:val="24"/>
          <w:highlight w:val="yellow"/>
        </w:rPr>
        <w:t>日14：00时</w:t>
      </w:r>
      <w:r>
        <w:rPr>
          <w:rFonts w:hint="eastAsia" w:ascii="楷体_GB2312" w:hAnsi="楷体" w:eastAsia="楷体_GB2312"/>
          <w:sz w:val="24"/>
        </w:rPr>
        <w:t xml:space="preserve"> </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二、询价小组将对响应文件进行评审，并填写询价采购结论。</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三、评定原则：询价小组选择质量和服务均能满足采购文件实质性响应要求且报价最低的供应商作为本次询价采购的成交供应商。</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四、报价单位有如下情况之一者，该报价单位报价无效：</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1、未按规定交纳报价保证金的；</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2、响应文件未按规定的期限、地点送达的；</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3、响应文件未按要求密封、签署、盖章的；</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4、不具备询价文件的报价资格条件或未按询价文件要求提供资格证明文件的；</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5、响应文件未加盖公章或无法定代表人或被授权人签字签名或盖章的；</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6、响应文件未按询价文件规定的格式、内容和要求填写的；</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7、响应文件关键内容字迹模糊不清、无法辨认的；</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8、响应文件中有多个报价且未声明以哪一个为准的；</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9、报价超过最高限价（总价最高限价及单价最高限价）或预算价的；</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10、响应文件载明的采购项目的完成期限超过询价文件规定的期限；</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11、响应文件背离询价文件中规定的必要技术功能要求；</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12、响应文件附有采购人不能接受的商务条件；</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13、各响应文件之间出现不应有的相似、相同、错误；</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14、提供虚假材料（包括工商营业执照、财务报表、资格证明文件等）；</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15、未按要求明确所报品牌和型号，不标注品牌型号或者标注多个品牌型号的；</w:t>
      </w:r>
    </w:p>
    <w:p>
      <w:pPr>
        <w:adjustRightInd w:val="0"/>
        <w:snapToGrid w:val="0"/>
        <w:spacing w:line="360" w:lineRule="auto"/>
        <w:ind w:firstLine="480" w:firstLineChars="200"/>
        <w:jc w:val="left"/>
        <w:rPr>
          <w:rFonts w:ascii="楷体_GB2312" w:hAnsi="楷体" w:eastAsia="楷体_GB2312"/>
          <w:sz w:val="24"/>
        </w:rPr>
      </w:pPr>
      <w:r>
        <w:rPr>
          <w:rFonts w:hint="eastAsia" w:ascii="楷体_GB2312" w:hAnsi="楷体" w:eastAsia="楷体_GB2312"/>
          <w:sz w:val="24"/>
        </w:rPr>
        <w:t>16、不符合国家法律法规及询价文件中规定的其他实质性要求。</w:t>
      </w:r>
    </w:p>
    <w:p>
      <w:pPr>
        <w:pageBreakBefore/>
        <w:widowControl/>
        <w:spacing w:before="100" w:line="360" w:lineRule="auto"/>
        <w:ind w:right="-153" w:firstLine="2880" w:firstLineChars="900"/>
        <w:rPr>
          <w:rFonts w:ascii="宋体" w:hAnsi="宋体" w:cs="宋体"/>
          <w:b/>
          <w:spacing w:val="2"/>
          <w:kern w:val="0"/>
          <w:sz w:val="18"/>
          <w:szCs w:val="18"/>
        </w:rPr>
      </w:pPr>
      <w:r>
        <w:rPr>
          <w:rFonts w:hint="eastAsia" w:ascii="楷体_GB2312" w:hAnsi="楷体" w:eastAsia="楷体_GB2312"/>
          <w:sz w:val="32"/>
          <w:szCs w:val="32"/>
        </w:rPr>
        <w:t>第四章  成交公告</w:t>
      </w:r>
    </w:p>
    <w:p>
      <w:pPr>
        <w:widowControl/>
        <w:spacing w:before="100" w:line="360" w:lineRule="auto"/>
        <w:ind w:right="-153" w:firstLine="369" w:firstLineChars="200"/>
        <w:jc w:val="center"/>
        <w:rPr>
          <w:rFonts w:ascii="宋体" w:hAnsi="宋体" w:cs="宋体"/>
          <w:b/>
          <w:spacing w:val="2"/>
          <w:kern w:val="0"/>
          <w:sz w:val="18"/>
          <w:szCs w:val="18"/>
        </w:rPr>
      </w:pPr>
    </w:p>
    <w:p>
      <w:pPr>
        <w:widowControl/>
        <w:spacing w:line="480" w:lineRule="auto"/>
        <w:ind w:firstLine="568" w:firstLineChars="200"/>
        <w:rPr>
          <w:rFonts w:ascii="楷体_GB2312" w:hAnsi="宋体" w:eastAsia="楷体_GB2312" w:cs="宋体"/>
          <w:spacing w:val="2"/>
          <w:kern w:val="0"/>
          <w:sz w:val="28"/>
          <w:szCs w:val="28"/>
        </w:rPr>
      </w:pPr>
      <w:r>
        <w:rPr>
          <w:rFonts w:hint="eastAsia" w:ascii="楷体_GB2312" w:hAnsi="宋体" w:eastAsia="楷体_GB2312" w:cs="宋体"/>
          <w:spacing w:val="2"/>
          <w:kern w:val="0"/>
          <w:sz w:val="28"/>
          <w:szCs w:val="28"/>
        </w:rPr>
        <w:t>确定成交供应商后，将在</w:t>
      </w:r>
      <w:r>
        <w:rPr>
          <w:rFonts w:hint="eastAsia" w:ascii="楷体_GB2312" w:hAnsi="宋体" w:eastAsia="楷体_GB2312"/>
          <w:sz w:val="28"/>
          <w:szCs w:val="28"/>
        </w:rPr>
        <w:t>江苏昊丰润全建设项目管理有限公司网站</w:t>
      </w:r>
      <w:r>
        <w:rPr>
          <w:rFonts w:hint="eastAsia" w:ascii="楷体_GB2312" w:hAnsi="宋体" w:eastAsia="楷体_GB2312"/>
          <w:sz w:val="24"/>
          <w:szCs w:val="28"/>
        </w:rPr>
        <w:t>（http://www.jshfrq.com/</w:t>
      </w:r>
      <w:r>
        <w:rPr>
          <w:rFonts w:ascii="楷体_GB2312" w:hAnsi="宋体" w:eastAsia="楷体_GB2312"/>
          <w:sz w:val="24"/>
          <w:szCs w:val="28"/>
        </w:rPr>
        <w:t>）</w:t>
      </w:r>
      <w:r>
        <w:rPr>
          <w:rFonts w:hint="eastAsia" w:ascii="楷体_GB2312" w:hAnsi="宋体" w:eastAsia="楷体_GB2312"/>
          <w:sz w:val="28"/>
          <w:szCs w:val="28"/>
        </w:rPr>
        <w:t>公示成交结果。成交公告期限为1个工作日</w:t>
      </w:r>
      <w:r>
        <w:rPr>
          <w:rFonts w:hint="eastAsia" w:ascii="楷体_GB2312" w:hAnsi="宋体" w:eastAsia="楷体_GB2312" w:cs="宋体"/>
          <w:spacing w:val="2"/>
          <w:kern w:val="0"/>
          <w:sz w:val="28"/>
          <w:szCs w:val="28"/>
        </w:rPr>
        <w:t>。</w:t>
      </w:r>
    </w:p>
    <w:p>
      <w:r>
        <w:rPr>
          <w:rFonts w:hint="eastAsia" w:ascii="楷体_GB2312" w:hAnsi="宋体" w:eastAsia="楷体_GB2312" w:cs="宋体"/>
          <w:spacing w:val="2"/>
          <w:kern w:val="0"/>
          <w:sz w:val="28"/>
          <w:szCs w:val="28"/>
        </w:rPr>
        <w:br w:type="page"/>
      </w:r>
    </w:p>
    <w:p>
      <w:pPr>
        <w:pageBreakBefore/>
        <w:widowControl/>
        <w:spacing w:before="100" w:line="360" w:lineRule="auto"/>
        <w:ind w:right="-153" w:firstLine="2880" w:firstLineChars="900"/>
        <w:rPr>
          <w:rFonts w:ascii="楷体_GB2312" w:hAnsi="楷体" w:eastAsia="楷体_GB2312"/>
          <w:sz w:val="32"/>
          <w:szCs w:val="32"/>
        </w:rPr>
        <w:sectPr>
          <w:headerReference r:id="rId3" w:type="default"/>
          <w:footerReference r:id="rId4" w:type="default"/>
          <w:pgSz w:w="11906" w:h="16838"/>
          <w:pgMar w:top="1134" w:right="1134" w:bottom="1134" w:left="1134" w:header="851" w:footer="992" w:gutter="0"/>
          <w:cols w:space="720" w:num="1"/>
          <w:docGrid w:linePitch="312" w:charSpace="0"/>
        </w:sectPr>
      </w:pPr>
    </w:p>
    <w:p>
      <w:pPr>
        <w:pStyle w:val="2"/>
        <w:numPr>
          <w:ilvl w:val="0"/>
          <w:numId w:val="2"/>
        </w:numPr>
        <w:ind w:firstLine="320"/>
        <w:jc w:val="center"/>
        <w:rPr>
          <w:rFonts w:ascii="楷体_GB2312" w:hAnsi="楷体" w:eastAsia="楷体_GB2312"/>
          <w:sz w:val="32"/>
          <w:szCs w:val="32"/>
        </w:rPr>
      </w:pPr>
      <w:r>
        <w:rPr>
          <w:rFonts w:hint="eastAsia" w:ascii="楷体_GB2312" w:hAnsi="楷体" w:eastAsia="楷体_GB2312"/>
          <w:sz w:val="32"/>
          <w:szCs w:val="32"/>
        </w:rPr>
        <w:t>采购项目数量、要求</w:t>
      </w:r>
    </w:p>
    <w:p>
      <w:pPr>
        <w:pStyle w:val="2"/>
        <w:ind w:firstLine="0" w:firstLineChars="0"/>
        <w:rPr>
          <w:rFonts w:ascii="楷体_GB2312" w:hAnsi="楷体" w:eastAsia="楷体_GB2312"/>
          <w:sz w:val="32"/>
          <w:szCs w:val="32"/>
        </w:rPr>
      </w:pPr>
    </w:p>
    <w:p>
      <w:pPr>
        <w:snapToGrid w:val="0"/>
        <w:spacing w:line="400" w:lineRule="exact"/>
        <w:rPr>
          <w:rFonts w:ascii="楷体" w:hAnsi="楷体" w:eastAsia="楷体" w:cs="楷体"/>
          <w:sz w:val="24"/>
        </w:rPr>
      </w:pPr>
      <w:r>
        <w:rPr>
          <w:rFonts w:hint="eastAsia" w:ascii="楷体" w:hAnsi="楷体" w:eastAsia="楷体" w:cs="楷体"/>
          <w:sz w:val="24"/>
        </w:rPr>
        <w:t>一、采购内容：采购清单和要求</w:t>
      </w:r>
    </w:p>
    <w:p>
      <w:pPr>
        <w:pStyle w:val="2"/>
        <w:ind w:firstLine="240"/>
        <w:rPr>
          <w:rFonts w:ascii="楷体" w:hAnsi="楷体" w:eastAsia="楷体" w:cs="楷体"/>
          <w:sz w:val="24"/>
          <w:szCs w:val="24"/>
        </w:rPr>
      </w:pPr>
      <w:r>
        <w:rPr>
          <w:rFonts w:hint="eastAsia" w:ascii="楷体" w:hAnsi="楷体" w:eastAsia="楷体" w:cs="楷体"/>
          <w:sz w:val="24"/>
          <w:szCs w:val="24"/>
        </w:rPr>
        <w:t>（1）厨房设备清单</w:t>
      </w:r>
    </w:p>
    <w:tbl>
      <w:tblPr>
        <w:tblStyle w:val="17"/>
        <w:tblW w:w="14631" w:type="dxa"/>
        <w:tblInd w:w="91" w:type="dxa"/>
        <w:tblLayout w:type="fixed"/>
        <w:tblCellMar>
          <w:top w:w="0" w:type="dxa"/>
          <w:left w:w="108" w:type="dxa"/>
          <w:bottom w:w="0" w:type="dxa"/>
          <w:right w:w="108" w:type="dxa"/>
        </w:tblCellMar>
      </w:tblPr>
      <w:tblGrid>
        <w:gridCol w:w="591"/>
        <w:gridCol w:w="1042"/>
        <w:gridCol w:w="458"/>
        <w:gridCol w:w="780"/>
        <w:gridCol w:w="675"/>
        <w:gridCol w:w="705"/>
        <w:gridCol w:w="990"/>
        <w:gridCol w:w="540"/>
        <w:gridCol w:w="495"/>
        <w:gridCol w:w="2250"/>
        <w:gridCol w:w="1020"/>
        <w:gridCol w:w="2430"/>
        <w:gridCol w:w="885"/>
        <w:gridCol w:w="885"/>
        <w:gridCol w:w="885"/>
      </w:tblGrid>
      <w:tr>
        <w:tblPrEx>
          <w:tblCellMar>
            <w:top w:w="0" w:type="dxa"/>
            <w:left w:w="108" w:type="dxa"/>
            <w:bottom w:w="0" w:type="dxa"/>
            <w:right w:w="108" w:type="dxa"/>
          </w:tblCellMar>
        </w:tblPrEx>
        <w:trPr>
          <w:trHeight w:val="480" w:hRule="atLeast"/>
        </w:trPr>
        <w:tc>
          <w:tcPr>
            <w:tcW w:w="5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sz w:val="22"/>
                <w:szCs w:val="22"/>
              </w:rPr>
            </w:pPr>
            <w:r>
              <w:rPr>
                <w:rFonts w:hint="eastAsia" w:ascii="微软雅黑" w:hAnsi="微软雅黑" w:eastAsia="微软雅黑" w:cs="微软雅黑"/>
                <w:b/>
                <w:bCs/>
                <w:kern w:val="0"/>
                <w:sz w:val="22"/>
                <w:szCs w:val="22"/>
              </w:rPr>
              <w:t>序号</w:t>
            </w:r>
          </w:p>
        </w:tc>
        <w:tc>
          <w:tcPr>
            <w:tcW w:w="10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sz w:val="22"/>
                <w:szCs w:val="22"/>
              </w:rPr>
            </w:pPr>
            <w:r>
              <w:rPr>
                <w:rFonts w:hint="eastAsia" w:ascii="微软雅黑" w:hAnsi="微软雅黑" w:eastAsia="微软雅黑" w:cs="微软雅黑"/>
                <w:b/>
                <w:bCs/>
                <w:kern w:val="0"/>
                <w:sz w:val="22"/>
                <w:szCs w:val="22"/>
              </w:rPr>
              <w:t>名称</w:t>
            </w:r>
          </w:p>
        </w:tc>
        <w:tc>
          <w:tcPr>
            <w:tcW w:w="4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sz w:val="22"/>
                <w:szCs w:val="22"/>
              </w:rPr>
            </w:pPr>
            <w:r>
              <w:rPr>
                <w:rFonts w:hint="eastAsia" w:ascii="微软雅黑" w:hAnsi="微软雅黑" w:eastAsia="微软雅黑" w:cs="微软雅黑"/>
                <w:b/>
                <w:bCs/>
                <w:kern w:val="0"/>
                <w:sz w:val="22"/>
                <w:szCs w:val="22"/>
              </w:rPr>
              <w:t>型号</w:t>
            </w:r>
          </w:p>
        </w:tc>
        <w:tc>
          <w:tcPr>
            <w:tcW w:w="31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sz w:val="22"/>
                <w:szCs w:val="22"/>
              </w:rPr>
            </w:pPr>
            <w:r>
              <w:rPr>
                <w:rFonts w:hint="eastAsia" w:ascii="微软雅黑" w:hAnsi="微软雅黑" w:eastAsia="微软雅黑" w:cs="微软雅黑"/>
                <w:b/>
                <w:bCs/>
                <w:kern w:val="0"/>
                <w:sz w:val="22"/>
                <w:szCs w:val="22"/>
              </w:rPr>
              <w:t>尺寸</w:t>
            </w:r>
          </w:p>
        </w:tc>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sz w:val="22"/>
                <w:szCs w:val="22"/>
              </w:rPr>
            </w:pPr>
            <w:r>
              <w:rPr>
                <w:rFonts w:hint="eastAsia" w:ascii="微软雅黑" w:hAnsi="微软雅黑" w:eastAsia="微软雅黑" w:cs="微软雅黑"/>
                <w:b/>
                <w:bCs/>
                <w:kern w:val="0"/>
                <w:sz w:val="22"/>
                <w:szCs w:val="22"/>
              </w:rPr>
              <w:t>数量</w:t>
            </w:r>
          </w:p>
        </w:tc>
        <w:tc>
          <w:tcPr>
            <w:tcW w:w="4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sz w:val="22"/>
                <w:szCs w:val="22"/>
              </w:rPr>
            </w:pPr>
            <w:r>
              <w:rPr>
                <w:rFonts w:hint="eastAsia" w:ascii="微软雅黑" w:hAnsi="微软雅黑" w:eastAsia="微软雅黑" w:cs="微软雅黑"/>
                <w:b/>
                <w:bCs/>
                <w:kern w:val="0"/>
                <w:sz w:val="22"/>
                <w:szCs w:val="22"/>
              </w:rPr>
              <w:t>单位</w:t>
            </w:r>
          </w:p>
        </w:tc>
        <w:tc>
          <w:tcPr>
            <w:tcW w:w="22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sz w:val="22"/>
                <w:szCs w:val="22"/>
              </w:rPr>
            </w:pPr>
            <w:r>
              <w:rPr>
                <w:rFonts w:hint="eastAsia" w:ascii="微软雅黑" w:hAnsi="微软雅黑" w:eastAsia="微软雅黑" w:cs="微软雅黑"/>
                <w:b/>
                <w:bCs/>
                <w:kern w:val="0"/>
                <w:sz w:val="22"/>
                <w:szCs w:val="22"/>
              </w:rPr>
              <w:t>设备图片</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sz w:val="28"/>
                <w:szCs w:val="28"/>
              </w:rPr>
            </w:pPr>
            <w:r>
              <w:rPr>
                <w:rFonts w:hint="eastAsia" w:ascii="微软雅黑" w:hAnsi="微软雅黑" w:eastAsia="微软雅黑" w:cs="微软雅黑"/>
                <w:b/>
                <w:bCs/>
                <w:kern w:val="0"/>
                <w:sz w:val="28"/>
                <w:szCs w:val="28"/>
              </w:rPr>
              <w:t>品牌</w:t>
            </w:r>
          </w:p>
        </w:tc>
        <w:tc>
          <w:tcPr>
            <w:tcW w:w="24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sz w:val="28"/>
                <w:szCs w:val="28"/>
              </w:rPr>
            </w:pPr>
            <w:r>
              <w:rPr>
                <w:rFonts w:hint="eastAsia" w:ascii="微软雅黑" w:hAnsi="微软雅黑" w:eastAsia="微软雅黑" w:cs="微软雅黑"/>
                <w:b/>
                <w:bCs/>
                <w:kern w:val="0"/>
                <w:sz w:val="28"/>
                <w:szCs w:val="28"/>
              </w:rPr>
              <w:t>技术参数</w:t>
            </w:r>
          </w:p>
        </w:tc>
        <w:tc>
          <w:tcPr>
            <w:tcW w:w="885"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kern w:val="0"/>
                <w:sz w:val="28"/>
                <w:szCs w:val="28"/>
              </w:rPr>
            </w:pPr>
            <w:r>
              <w:rPr>
                <w:rFonts w:hint="eastAsia" w:ascii="宋体" w:hAnsi="宋体" w:cs="宋体"/>
                <w:b/>
                <w:kern w:val="0"/>
                <w:sz w:val="20"/>
                <w:szCs w:val="20"/>
              </w:rPr>
              <w:t>综合单价(元）</w:t>
            </w:r>
          </w:p>
        </w:tc>
        <w:tc>
          <w:tcPr>
            <w:tcW w:w="885"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kern w:val="0"/>
                <w:sz w:val="28"/>
                <w:szCs w:val="28"/>
              </w:rPr>
            </w:pPr>
            <w:r>
              <w:rPr>
                <w:rFonts w:hint="eastAsia" w:ascii="宋体" w:hAnsi="宋体" w:cs="宋体"/>
                <w:b/>
                <w:kern w:val="0"/>
                <w:sz w:val="20"/>
                <w:szCs w:val="20"/>
              </w:rPr>
              <w:t>合计(元）</w:t>
            </w:r>
          </w:p>
        </w:tc>
        <w:tc>
          <w:tcPr>
            <w:tcW w:w="885"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kern w:val="0"/>
                <w:sz w:val="28"/>
                <w:szCs w:val="28"/>
              </w:rPr>
            </w:pPr>
            <w:r>
              <w:rPr>
                <w:rFonts w:hint="eastAsia" w:ascii="宋体" w:hAnsi="宋体" w:cs="宋体"/>
                <w:b/>
                <w:kern w:val="0"/>
                <w:sz w:val="20"/>
                <w:szCs w:val="20"/>
              </w:rPr>
              <w:t>所投产品品牌/规格型号</w:t>
            </w:r>
          </w:p>
        </w:tc>
      </w:tr>
      <w:tr>
        <w:tblPrEx>
          <w:tblCellMar>
            <w:top w:w="0" w:type="dxa"/>
            <w:left w:w="108" w:type="dxa"/>
            <w:bottom w:w="0" w:type="dxa"/>
            <w:right w:w="108" w:type="dxa"/>
          </w:tblCellMar>
        </w:tblPrEx>
        <w:trPr>
          <w:trHeight w:val="437" w:hRule="atLeast"/>
        </w:trPr>
        <w:tc>
          <w:tcPr>
            <w:tcW w:w="5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b/>
                <w:bCs/>
                <w:sz w:val="28"/>
                <w:szCs w:val="28"/>
              </w:rPr>
            </w:pPr>
          </w:p>
        </w:tc>
        <w:tc>
          <w:tcPr>
            <w:tcW w:w="10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b/>
                <w:bCs/>
                <w:sz w:val="28"/>
                <w:szCs w:val="28"/>
              </w:rPr>
            </w:pPr>
          </w:p>
        </w:tc>
        <w:tc>
          <w:tcPr>
            <w:tcW w:w="4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b/>
                <w:bCs/>
                <w:sz w:val="28"/>
                <w:szCs w:val="28"/>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sz w:val="22"/>
                <w:szCs w:val="22"/>
              </w:rPr>
            </w:pPr>
            <w:r>
              <w:rPr>
                <w:rFonts w:hint="eastAsia" w:ascii="微软雅黑" w:hAnsi="微软雅黑" w:eastAsia="微软雅黑" w:cs="微软雅黑"/>
                <w:b/>
                <w:bCs/>
                <w:kern w:val="0"/>
                <w:sz w:val="22"/>
                <w:szCs w:val="22"/>
              </w:rPr>
              <w:t>W长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sz w:val="22"/>
                <w:szCs w:val="22"/>
              </w:rPr>
            </w:pPr>
            <w:r>
              <w:rPr>
                <w:rFonts w:hint="eastAsia" w:ascii="微软雅黑" w:hAnsi="微软雅黑" w:eastAsia="微软雅黑" w:cs="微软雅黑"/>
                <w:b/>
                <w:bCs/>
                <w:kern w:val="0"/>
                <w:sz w:val="22"/>
                <w:szCs w:val="22"/>
              </w:rPr>
              <w:t>D宽</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sz w:val="22"/>
                <w:szCs w:val="22"/>
              </w:rPr>
            </w:pPr>
            <w:r>
              <w:rPr>
                <w:rFonts w:hint="eastAsia" w:ascii="微软雅黑" w:hAnsi="微软雅黑" w:eastAsia="微软雅黑" w:cs="微软雅黑"/>
                <w:b/>
                <w:bCs/>
                <w:kern w:val="0"/>
                <w:sz w:val="22"/>
                <w:szCs w:val="22"/>
              </w:rPr>
              <w:t>H高</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sz w:val="22"/>
                <w:szCs w:val="22"/>
              </w:rPr>
            </w:pPr>
            <w:r>
              <w:rPr>
                <w:rFonts w:hint="eastAsia" w:ascii="微软雅黑" w:hAnsi="微软雅黑" w:eastAsia="微软雅黑" w:cs="微软雅黑"/>
                <w:b/>
                <w:bCs/>
                <w:kern w:val="0"/>
                <w:sz w:val="22"/>
                <w:szCs w:val="22"/>
              </w:rPr>
              <w:t>H靠背</w:t>
            </w:r>
          </w:p>
        </w:tc>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b/>
                <w:bCs/>
                <w:sz w:val="28"/>
                <w:szCs w:val="28"/>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b/>
                <w:bCs/>
                <w:sz w:val="28"/>
                <w:szCs w:val="28"/>
              </w:rPr>
            </w:pPr>
          </w:p>
        </w:tc>
        <w:tc>
          <w:tcPr>
            <w:tcW w:w="22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b/>
                <w:bCs/>
                <w:sz w:val="28"/>
                <w:szCs w:val="28"/>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b/>
                <w:bCs/>
                <w:sz w:val="28"/>
                <w:szCs w:val="28"/>
              </w:rPr>
            </w:pPr>
          </w:p>
        </w:tc>
        <w:tc>
          <w:tcPr>
            <w:tcW w:w="24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b/>
                <w:bCs/>
                <w:sz w:val="28"/>
                <w:szCs w:val="28"/>
              </w:rPr>
            </w:pPr>
          </w:p>
        </w:tc>
        <w:tc>
          <w:tcPr>
            <w:tcW w:w="885" w:type="dxa"/>
            <w:vMerge w:val="continue"/>
            <w:tcBorders>
              <w:left w:val="single" w:color="000000" w:sz="4" w:space="0"/>
              <w:right w:val="single" w:color="000000" w:sz="4" w:space="0"/>
            </w:tcBorders>
            <w:shd w:val="clear" w:color="auto" w:fill="auto"/>
            <w:vAlign w:val="center"/>
          </w:tcPr>
          <w:p>
            <w:pPr>
              <w:jc w:val="center"/>
              <w:rPr>
                <w:rFonts w:ascii="微软雅黑" w:hAnsi="微软雅黑" w:eastAsia="微软雅黑" w:cs="微软雅黑"/>
                <w:b/>
                <w:bCs/>
                <w:sz w:val="28"/>
                <w:szCs w:val="28"/>
              </w:rPr>
            </w:pPr>
          </w:p>
        </w:tc>
        <w:tc>
          <w:tcPr>
            <w:tcW w:w="885" w:type="dxa"/>
            <w:vMerge w:val="continue"/>
            <w:tcBorders>
              <w:left w:val="single" w:color="000000" w:sz="4" w:space="0"/>
              <w:right w:val="single" w:color="000000" w:sz="4" w:space="0"/>
            </w:tcBorders>
            <w:shd w:val="clear" w:color="auto" w:fill="auto"/>
            <w:vAlign w:val="center"/>
          </w:tcPr>
          <w:p>
            <w:pPr>
              <w:jc w:val="center"/>
              <w:rPr>
                <w:rFonts w:ascii="微软雅黑" w:hAnsi="微软雅黑" w:eastAsia="微软雅黑" w:cs="微软雅黑"/>
                <w:b/>
                <w:bCs/>
                <w:sz w:val="28"/>
                <w:szCs w:val="28"/>
              </w:rPr>
            </w:pPr>
          </w:p>
        </w:tc>
        <w:tc>
          <w:tcPr>
            <w:tcW w:w="885" w:type="dxa"/>
            <w:vMerge w:val="continue"/>
            <w:tcBorders>
              <w:left w:val="single" w:color="000000" w:sz="4" w:space="0"/>
              <w:right w:val="single" w:color="000000" w:sz="4" w:space="0"/>
            </w:tcBorders>
            <w:shd w:val="clear" w:color="auto" w:fill="auto"/>
            <w:vAlign w:val="center"/>
          </w:tcPr>
          <w:p>
            <w:pPr>
              <w:jc w:val="center"/>
              <w:rPr>
                <w:rFonts w:ascii="微软雅黑" w:hAnsi="微软雅黑" w:eastAsia="微软雅黑" w:cs="微软雅黑"/>
                <w:b/>
                <w:bCs/>
                <w:sz w:val="28"/>
                <w:szCs w:val="28"/>
              </w:rPr>
            </w:pPr>
          </w:p>
        </w:tc>
      </w:tr>
      <w:tr>
        <w:tblPrEx>
          <w:tblCellMar>
            <w:top w:w="0" w:type="dxa"/>
            <w:left w:w="108" w:type="dxa"/>
            <w:bottom w:w="0" w:type="dxa"/>
            <w:right w:w="108" w:type="dxa"/>
          </w:tblCellMar>
        </w:tblPrEx>
        <w:trPr>
          <w:trHeight w:val="90" w:hRule="atLeast"/>
        </w:trPr>
        <w:tc>
          <w:tcPr>
            <w:tcW w:w="5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b/>
                <w:bCs/>
                <w:sz w:val="28"/>
                <w:szCs w:val="28"/>
              </w:rPr>
            </w:pPr>
          </w:p>
        </w:tc>
        <w:tc>
          <w:tcPr>
            <w:tcW w:w="10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b/>
                <w:bCs/>
                <w:sz w:val="28"/>
                <w:szCs w:val="28"/>
              </w:rPr>
            </w:pPr>
          </w:p>
        </w:tc>
        <w:tc>
          <w:tcPr>
            <w:tcW w:w="4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b/>
                <w:bCs/>
                <w:sz w:val="28"/>
                <w:szCs w:val="28"/>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sz w:val="22"/>
                <w:szCs w:val="22"/>
              </w:rPr>
            </w:pPr>
            <w:r>
              <w:rPr>
                <w:rFonts w:hint="eastAsia" w:ascii="微软雅黑" w:hAnsi="微软雅黑" w:eastAsia="微软雅黑" w:cs="微软雅黑"/>
                <w:b/>
                <w:bCs/>
                <w:kern w:val="0"/>
                <w:sz w:val="22"/>
                <w:szCs w:val="22"/>
              </w:rPr>
              <w:t>mm</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sz w:val="22"/>
                <w:szCs w:val="22"/>
              </w:rPr>
            </w:pPr>
            <w:r>
              <w:rPr>
                <w:rFonts w:hint="eastAsia" w:ascii="微软雅黑" w:hAnsi="微软雅黑" w:eastAsia="微软雅黑" w:cs="微软雅黑"/>
                <w:b/>
                <w:bCs/>
                <w:kern w:val="0"/>
                <w:sz w:val="22"/>
                <w:szCs w:val="22"/>
              </w:rPr>
              <w:t>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sz w:val="22"/>
                <w:szCs w:val="22"/>
              </w:rPr>
            </w:pPr>
            <w:r>
              <w:rPr>
                <w:rFonts w:hint="eastAsia" w:ascii="微软雅黑" w:hAnsi="微软雅黑" w:eastAsia="微软雅黑" w:cs="微软雅黑"/>
                <w:b/>
                <w:bCs/>
                <w:kern w:val="0"/>
                <w:sz w:val="22"/>
                <w:szCs w:val="22"/>
              </w:rPr>
              <w:t>mm</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sz w:val="22"/>
                <w:szCs w:val="22"/>
              </w:rPr>
            </w:pPr>
            <w:r>
              <w:rPr>
                <w:rFonts w:hint="eastAsia" w:ascii="微软雅黑" w:hAnsi="微软雅黑" w:eastAsia="微软雅黑" w:cs="微软雅黑"/>
                <w:b/>
                <w:bCs/>
                <w:kern w:val="0"/>
                <w:sz w:val="22"/>
                <w:szCs w:val="22"/>
              </w:rPr>
              <w:t>mm</w:t>
            </w:r>
          </w:p>
        </w:tc>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b/>
                <w:bCs/>
                <w:sz w:val="28"/>
                <w:szCs w:val="28"/>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b/>
                <w:bCs/>
                <w:sz w:val="28"/>
                <w:szCs w:val="28"/>
              </w:rPr>
            </w:pPr>
          </w:p>
        </w:tc>
        <w:tc>
          <w:tcPr>
            <w:tcW w:w="22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b/>
                <w:bCs/>
                <w:sz w:val="28"/>
                <w:szCs w:val="28"/>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b/>
                <w:bCs/>
                <w:sz w:val="28"/>
                <w:szCs w:val="28"/>
              </w:rPr>
            </w:pPr>
          </w:p>
        </w:tc>
        <w:tc>
          <w:tcPr>
            <w:tcW w:w="24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b/>
                <w:bCs/>
                <w:sz w:val="28"/>
                <w:szCs w:val="28"/>
              </w:rPr>
            </w:pPr>
          </w:p>
        </w:tc>
        <w:tc>
          <w:tcPr>
            <w:tcW w:w="88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b/>
                <w:bCs/>
                <w:sz w:val="28"/>
                <w:szCs w:val="28"/>
              </w:rPr>
            </w:pPr>
          </w:p>
        </w:tc>
        <w:tc>
          <w:tcPr>
            <w:tcW w:w="88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b/>
                <w:bCs/>
                <w:sz w:val="28"/>
                <w:szCs w:val="28"/>
              </w:rPr>
            </w:pPr>
          </w:p>
        </w:tc>
        <w:tc>
          <w:tcPr>
            <w:tcW w:w="885"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b/>
                <w:bCs/>
                <w:sz w:val="28"/>
                <w:szCs w:val="28"/>
              </w:rPr>
            </w:pPr>
          </w:p>
        </w:tc>
      </w:tr>
      <w:tr>
        <w:tblPrEx>
          <w:tblCellMar>
            <w:top w:w="0" w:type="dxa"/>
            <w:left w:w="108" w:type="dxa"/>
            <w:bottom w:w="0" w:type="dxa"/>
            <w:right w:w="108" w:type="dxa"/>
          </w:tblCellMar>
        </w:tblPrEx>
        <w:trPr>
          <w:trHeight w:val="402" w:hRule="atLeast"/>
        </w:trPr>
        <w:tc>
          <w:tcPr>
            <w:tcW w:w="1463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b/>
                <w:bCs/>
                <w:kern w:val="0"/>
                <w:sz w:val="24"/>
              </w:rPr>
            </w:pPr>
            <w:r>
              <w:rPr>
                <w:rFonts w:hint="eastAsia" w:ascii="宋体" w:hAnsi="宋体" w:cs="宋体"/>
                <w:b/>
                <w:bCs/>
                <w:kern w:val="0"/>
                <w:sz w:val="24"/>
              </w:rPr>
              <w:t>一层厨房</w:t>
            </w:r>
          </w:p>
        </w:tc>
      </w:tr>
      <w:tr>
        <w:tblPrEx>
          <w:tblCellMar>
            <w:top w:w="0" w:type="dxa"/>
            <w:left w:w="108" w:type="dxa"/>
            <w:bottom w:w="0" w:type="dxa"/>
            <w:right w:w="108" w:type="dxa"/>
          </w:tblCellMar>
        </w:tblPrEx>
        <w:trPr>
          <w:trHeight w:val="465" w:hRule="atLeast"/>
        </w:trPr>
        <w:tc>
          <w:tcPr>
            <w:tcW w:w="1463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b/>
                <w:bCs/>
                <w:kern w:val="0"/>
                <w:sz w:val="20"/>
                <w:szCs w:val="20"/>
              </w:rPr>
            </w:pPr>
            <w:r>
              <w:rPr>
                <w:rFonts w:hint="eastAsia" w:ascii="宋体" w:hAnsi="宋体" w:cs="宋体"/>
                <w:b/>
                <w:bCs/>
                <w:kern w:val="0"/>
                <w:sz w:val="24"/>
              </w:rPr>
              <w:t>主、副食库</w:t>
            </w:r>
          </w:p>
        </w:tc>
      </w:tr>
      <w:tr>
        <w:tblPrEx>
          <w:tblCellMar>
            <w:top w:w="0" w:type="dxa"/>
            <w:left w:w="108" w:type="dxa"/>
            <w:bottom w:w="0" w:type="dxa"/>
            <w:right w:w="108" w:type="dxa"/>
          </w:tblCellMar>
        </w:tblPrEx>
        <w:trPr>
          <w:trHeight w:val="322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A01</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四层平板冲孔货架</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1500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500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3</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59264" behindDoc="0" locked="0" layoutInCell="1" allowOverlap="1">
                  <wp:simplePos x="0" y="0"/>
                  <wp:positionH relativeFrom="column">
                    <wp:posOffset>-38100</wp:posOffset>
                  </wp:positionH>
                  <wp:positionV relativeFrom="paragraph">
                    <wp:posOffset>24765</wp:posOffset>
                  </wp:positionV>
                  <wp:extent cx="1378585" cy="1991995"/>
                  <wp:effectExtent l="0" t="0" r="12065" b="8255"/>
                  <wp:wrapNone/>
                  <wp:docPr id="84" name="图片_2"/>
                  <wp:cNvGraphicFramePr/>
                  <a:graphic xmlns:a="http://schemas.openxmlformats.org/drawingml/2006/main">
                    <a:graphicData uri="http://schemas.openxmlformats.org/drawingml/2006/picture">
                      <pic:pic xmlns:pic="http://schemas.openxmlformats.org/drawingml/2006/picture">
                        <pic:nvPicPr>
                          <pic:cNvPr id="84" name="图片_2"/>
                          <pic:cNvPicPr/>
                        </pic:nvPicPr>
                        <pic:blipFill>
                          <a:blip r:embed="rId6"/>
                          <a:stretch>
                            <a:fillRect/>
                          </a:stretch>
                        </pic:blipFill>
                        <pic:spPr>
                          <a:xfrm>
                            <a:off x="0" y="0"/>
                            <a:ext cx="1378585" cy="1991995"/>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层板：采用SUS304不锈钢板厚度1.2mm；平板式机制冲压成型，承受力强，焊接连接，坚固耐用，易清洁；衬筋：SUS304不锈钢板厚度1.0mm；脚通：SUS304不锈钢方管38*38*1.2mm；柱脚：可调不锈钢子弹脚。</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270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A02</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单层米面架</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1500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600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350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4</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60288" behindDoc="0" locked="0" layoutInCell="1" allowOverlap="1">
                  <wp:simplePos x="0" y="0"/>
                  <wp:positionH relativeFrom="column">
                    <wp:posOffset>-48260</wp:posOffset>
                  </wp:positionH>
                  <wp:positionV relativeFrom="paragraph">
                    <wp:posOffset>36195</wp:posOffset>
                  </wp:positionV>
                  <wp:extent cx="1400175" cy="1668145"/>
                  <wp:effectExtent l="0" t="0" r="9525" b="8255"/>
                  <wp:wrapNone/>
                  <wp:docPr id="85" name="图片_4"/>
                  <wp:cNvGraphicFramePr/>
                  <a:graphic xmlns:a="http://schemas.openxmlformats.org/drawingml/2006/main">
                    <a:graphicData uri="http://schemas.openxmlformats.org/drawingml/2006/picture">
                      <pic:pic xmlns:pic="http://schemas.openxmlformats.org/drawingml/2006/picture">
                        <pic:nvPicPr>
                          <pic:cNvPr id="85" name="图片_4"/>
                          <pic:cNvPicPr/>
                        </pic:nvPicPr>
                        <pic:blipFill>
                          <a:blip r:embed="rId7"/>
                          <a:stretch>
                            <a:fillRect/>
                          </a:stretch>
                        </pic:blipFill>
                        <pic:spPr>
                          <a:xfrm>
                            <a:off x="0" y="0"/>
                            <a:ext cx="1400175" cy="1668145"/>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框架：采用SUS304不锈钢方管38*38*1.2mm；脚通：SUS304不锈钢方管38*38*1.2mm；柱脚：可调不锈钢子弹脚。</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660" w:hRule="atLeast"/>
        </w:trPr>
        <w:tc>
          <w:tcPr>
            <w:tcW w:w="1463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r>
              <w:rPr>
                <w:rFonts w:hint="eastAsia" w:ascii="宋体" w:hAnsi="宋体" w:cs="宋体"/>
                <w:b/>
                <w:bCs/>
                <w:kern w:val="0"/>
                <w:sz w:val="20"/>
                <w:szCs w:val="20"/>
              </w:rPr>
              <w:t>蔬菜粗加工</w:t>
            </w:r>
          </w:p>
        </w:tc>
      </w:tr>
      <w:tr>
        <w:tblPrEx>
          <w:tblCellMar>
            <w:top w:w="0" w:type="dxa"/>
            <w:left w:w="108" w:type="dxa"/>
            <w:bottom w:w="0" w:type="dxa"/>
            <w:right w:w="108" w:type="dxa"/>
          </w:tblCellMar>
        </w:tblPrEx>
        <w:trPr>
          <w:trHeight w:val="346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B01</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双星盆无下层板</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1200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2</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61312" behindDoc="0" locked="0" layoutInCell="1" allowOverlap="1">
                  <wp:simplePos x="0" y="0"/>
                  <wp:positionH relativeFrom="column">
                    <wp:posOffset>-28575</wp:posOffset>
                  </wp:positionH>
                  <wp:positionV relativeFrom="paragraph">
                    <wp:posOffset>46355</wp:posOffset>
                  </wp:positionV>
                  <wp:extent cx="1352550" cy="2152650"/>
                  <wp:effectExtent l="0" t="0" r="0" b="0"/>
                  <wp:wrapNone/>
                  <wp:docPr id="86" name="图片_6"/>
                  <wp:cNvGraphicFramePr/>
                  <a:graphic xmlns:a="http://schemas.openxmlformats.org/drawingml/2006/main">
                    <a:graphicData uri="http://schemas.openxmlformats.org/drawingml/2006/picture">
                      <pic:pic xmlns:pic="http://schemas.openxmlformats.org/drawingml/2006/picture">
                        <pic:nvPicPr>
                          <pic:cNvPr id="86" name="图片_6"/>
                          <pic:cNvPicPr/>
                        </pic:nvPicPr>
                        <pic:blipFill>
                          <a:blip r:embed="rId8"/>
                          <a:stretch>
                            <a:fillRect/>
                          </a:stretch>
                        </pic:blipFill>
                        <pic:spPr>
                          <a:xfrm>
                            <a:off x="0" y="0"/>
                            <a:ext cx="1352550" cy="2152650"/>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台面：采用SUS304不锈钢板厚度1.2mm；星盆：SUS304不锈钢板厚度1.2mm，配不锈钢落水；脚通：SUS304不锈钢方管38*38*1.0mm；横管：SUS304不锈钢方管38*25*1.0mm；台脚：可调不锈钢子弹脚。</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258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配</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冷热水龙头</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4</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套</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62336" behindDoc="0" locked="0" layoutInCell="1" allowOverlap="1">
                  <wp:simplePos x="0" y="0"/>
                  <wp:positionH relativeFrom="column">
                    <wp:posOffset>-39370</wp:posOffset>
                  </wp:positionH>
                  <wp:positionV relativeFrom="paragraph">
                    <wp:posOffset>20320</wp:posOffset>
                  </wp:positionV>
                  <wp:extent cx="1362075" cy="1569085"/>
                  <wp:effectExtent l="0" t="0" r="9525" b="12065"/>
                  <wp:wrapNone/>
                  <wp:docPr id="90" name="图片_8"/>
                  <wp:cNvGraphicFramePr/>
                  <a:graphic xmlns:a="http://schemas.openxmlformats.org/drawingml/2006/main">
                    <a:graphicData uri="http://schemas.openxmlformats.org/drawingml/2006/picture">
                      <pic:pic xmlns:pic="http://schemas.openxmlformats.org/drawingml/2006/picture">
                        <pic:nvPicPr>
                          <pic:cNvPr id="90" name="图片_8"/>
                          <pic:cNvPicPr/>
                        </pic:nvPicPr>
                        <pic:blipFill>
                          <a:blip r:embed="rId9"/>
                          <a:stretch>
                            <a:fillRect/>
                          </a:stretch>
                        </pic:blipFill>
                        <pic:spPr>
                          <a:xfrm>
                            <a:off x="0" y="0"/>
                            <a:ext cx="1362075" cy="1569085"/>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 红太阳，EQUIP，华舟</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sz w:val="20"/>
                <w:szCs w:val="20"/>
              </w:rPr>
            </w:pPr>
          </w:p>
        </w:tc>
      </w:tr>
      <w:tr>
        <w:tblPrEx>
          <w:tblCellMar>
            <w:top w:w="0" w:type="dxa"/>
            <w:left w:w="108" w:type="dxa"/>
            <w:bottom w:w="0" w:type="dxa"/>
            <w:right w:w="108" w:type="dxa"/>
          </w:tblCellMar>
        </w:tblPrEx>
        <w:trPr>
          <w:trHeight w:val="319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B02</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开水器连底座（60L）</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KSQ-9</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525</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1400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63360" behindDoc="0" locked="0" layoutInCell="1" allowOverlap="1">
                  <wp:simplePos x="0" y="0"/>
                  <wp:positionH relativeFrom="column">
                    <wp:posOffset>-29210</wp:posOffset>
                  </wp:positionH>
                  <wp:positionV relativeFrom="paragraph">
                    <wp:posOffset>29845</wp:posOffset>
                  </wp:positionV>
                  <wp:extent cx="1360170" cy="1978025"/>
                  <wp:effectExtent l="0" t="0" r="11430" b="3175"/>
                  <wp:wrapNone/>
                  <wp:docPr id="92" name="图片_10"/>
                  <wp:cNvGraphicFramePr/>
                  <a:graphic xmlns:a="http://schemas.openxmlformats.org/drawingml/2006/main">
                    <a:graphicData uri="http://schemas.openxmlformats.org/drawingml/2006/picture">
                      <pic:pic xmlns:pic="http://schemas.openxmlformats.org/drawingml/2006/picture">
                        <pic:nvPicPr>
                          <pic:cNvPr id="92" name="图片_10"/>
                          <pic:cNvPicPr/>
                        </pic:nvPicPr>
                        <pic:blipFill>
                          <a:blip r:embed="rId10"/>
                          <a:stretch>
                            <a:fillRect/>
                          </a:stretch>
                        </pic:blipFill>
                        <pic:spPr>
                          <a:xfrm>
                            <a:off x="0" y="0"/>
                            <a:ext cx="1360170" cy="1978025"/>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恒联，明睿</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开水器连底座 12KW 电压/功率：380V/12KW；容量：90L；供水量：120L/h。机身：采用SUS304不锈钢板厚度1.0mm,内胆不锈钢板厚度0.8mm。</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280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B04</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工作台连下一层板</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64384" behindDoc="0" locked="0" layoutInCell="1" allowOverlap="1">
                  <wp:simplePos x="0" y="0"/>
                  <wp:positionH relativeFrom="column">
                    <wp:posOffset>-38100</wp:posOffset>
                  </wp:positionH>
                  <wp:positionV relativeFrom="paragraph">
                    <wp:posOffset>20320</wp:posOffset>
                  </wp:positionV>
                  <wp:extent cx="1362710" cy="1911350"/>
                  <wp:effectExtent l="0" t="0" r="8890" b="12700"/>
                  <wp:wrapNone/>
                  <wp:docPr id="87" name="图片_16"/>
                  <wp:cNvGraphicFramePr/>
                  <a:graphic xmlns:a="http://schemas.openxmlformats.org/drawingml/2006/main">
                    <a:graphicData uri="http://schemas.openxmlformats.org/drawingml/2006/picture">
                      <pic:pic xmlns:pic="http://schemas.openxmlformats.org/drawingml/2006/picture">
                        <pic:nvPicPr>
                          <pic:cNvPr id="87" name="图片_16"/>
                          <pic:cNvPicPr/>
                        </pic:nvPicPr>
                        <pic:blipFill>
                          <a:blip r:embed="rId11"/>
                          <a:stretch>
                            <a:fillRect/>
                          </a:stretch>
                        </pic:blipFill>
                        <pic:spPr>
                          <a:xfrm>
                            <a:off x="0" y="0"/>
                            <a:ext cx="1362710" cy="1911350"/>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台面：采用SUS304不锈钢板厚度1.2mm；下衬15mm细木工板；层板：不锈钢板厚度1.0mm，下层板条格式；衬筋：不锈钢板厚度1.0mm；脚通：不锈钢方管38*38*1.0mm；台脚：可调不锈钢子弹脚。</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381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B05</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切菜机（500-800KG）</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QC160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1200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600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1100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65408" behindDoc="0" locked="0" layoutInCell="1" allowOverlap="1">
                  <wp:simplePos x="0" y="0"/>
                  <wp:positionH relativeFrom="column">
                    <wp:posOffset>-28575</wp:posOffset>
                  </wp:positionH>
                  <wp:positionV relativeFrom="paragraph">
                    <wp:posOffset>36830</wp:posOffset>
                  </wp:positionV>
                  <wp:extent cx="1381760" cy="2391410"/>
                  <wp:effectExtent l="0" t="0" r="8890" b="8890"/>
                  <wp:wrapNone/>
                  <wp:docPr id="89" name="图片_18"/>
                  <wp:cNvGraphicFramePr/>
                  <a:graphic xmlns:a="http://schemas.openxmlformats.org/drawingml/2006/main">
                    <a:graphicData uri="http://schemas.openxmlformats.org/drawingml/2006/picture">
                      <pic:pic xmlns:pic="http://schemas.openxmlformats.org/drawingml/2006/picture">
                        <pic:nvPicPr>
                          <pic:cNvPr id="89" name="图片_18"/>
                          <pic:cNvPicPr/>
                        </pic:nvPicPr>
                        <pic:blipFill>
                          <a:blip r:embed="rId12"/>
                          <a:stretch>
                            <a:fillRect/>
                          </a:stretch>
                        </pic:blipFill>
                        <pic:spPr>
                          <a:xfrm>
                            <a:off x="0" y="0"/>
                            <a:ext cx="1381760" cy="2391410"/>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恒联，哲克</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该机能快速地将肉、蔬菜、瓜果等食物切碎，用以制作馅料。它采用涡轮、蜗杆减速传动，结构紧凑。具有操作方便，工作效率高等特点。并设有保护装置，安全可靠。凡接触食物的零件均采用电蚀铝合金或不锈钢制作，外形美观，符合卫生标准。</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27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B06</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四层平板冲孔货架</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1500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500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3</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66432" behindDoc="0" locked="0" layoutInCell="1" allowOverlap="1">
                  <wp:simplePos x="0" y="0"/>
                  <wp:positionH relativeFrom="column">
                    <wp:posOffset>-27940</wp:posOffset>
                  </wp:positionH>
                  <wp:positionV relativeFrom="paragraph">
                    <wp:posOffset>26035</wp:posOffset>
                  </wp:positionV>
                  <wp:extent cx="1341755" cy="1898015"/>
                  <wp:effectExtent l="0" t="0" r="10795" b="6985"/>
                  <wp:wrapNone/>
                  <wp:docPr id="88" name="图片_19"/>
                  <wp:cNvGraphicFramePr/>
                  <a:graphic xmlns:a="http://schemas.openxmlformats.org/drawingml/2006/main">
                    <a:graphicData uri="http://schemas.openxmlformats.org/drawingml/2006/picture">
                      <pic:pic xmlns:pic="http://schemas.openxmlformats.org/drawingml/2006/picture">
                        <pic:nvPicPr>
                          <pic:cNvPr id="88" name="图片_19"/>
                          <pic:cNvPicPr/>
                        </pic:nvPicPr>
                        <pic:blipFill>
                          <a:blip r:embed="rId13"/>
                          <a:stretch>
                            <a:fillRect/>
                          </a:stretch>
                        </pic:blipFill>
                        <pic:spPr>
                          <a:xfrm>
                            <a:off x="0" y="0"/>
                            <a:ext cx="1341755" cy="1898015"/>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层板：采用SUS304不锈钢板厚度1.2mm；平板式机制冲压成型，承受力强，焊接连接，坚固耐用，易清洁；衬筋：SUS304不锈钢板厚度1.0mm；脚通：SUS304不锈钢方管38*38*1.2mm；柱脚：可调不锈钢子弹脚。</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450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B07</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四门冷藏冰箱</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1220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760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1950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67456" behindDoc="0" locked="0" layoutInCell="1" allowOverlap="1">
                  <wp:simplePos x="0" y="0"/>
                  <wp:positionH relativeFrom="column">
                    <wp:posOffset>-18415</wp:posOffset>
                  </wp:positionH>
                  <wp:positionV relativeFrom="paragraph">
                    <wp:posOffset>45720</wp:posOffset>
                  </wp:positionV>
                  <wp:extent cx="1332230" cy="2781300"/>
                  <wp:effectExtent l="0" t="0" r="1270" b="0"/>
                  <wp:wrapNone/>
                  <wp:docPr id="91" name="图片_21"/>
                  <wp:cNvGraphicFramePr/>
                  <a:graphic xmlns:a="http://schemas.openxmlformats.org/drawingml/2006/main">
                    <a:graphicData uri="http://schemas.openxmlformats.org/drawingml/2006/picture">
                      <pic:pic xmlns:pic="http://schemas.openxmlformats.org/drawingml/2006/picture">
                        <pic:nvPicPr>
                          <pic:cNvPr id="91" name="图片_21"/>
                          <pic:cNvPicPr/>
                        </pic:nvPicPr>
                        <pic:blipFill>
                          <a:blip r:embed="rId14"/>
                          <a:stretch>
                            <a:fillRect/>
                          </a:stretch>
                        </pic:blipFill>
                        <pic:spPr>
                          <a:xfrm>
                            <a:off x="0" y="0"/>
                            <a:ext cx="1332230" cy="2781300"/>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星星，金松 ，久景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内外为全不锈钢材料,内为全铜管制冷系统，防锈抗腐,微电脑温度显示器,聚胺脂高压发泡；温度范围：冷藏15℃~0℃，电压/功率：220v/0.85kw</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1242"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B08</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拖把池柜连工具挂架</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sz w:val="20"/>
                <w:szCs w:val="20"/>
              </w:rPr>
            </w:pPr>
          </w:p>
        </w:tc>
      </w:tr>
      <w:tr>
        <w:tblPrEx>
          <w:tblCellMar>
            <w:top w:w="0" w:type="dxa"/>
            <w:left w:w="108" w:type="dxa"/>
            <w:bottom w:w="0" w:type="dxa"/>
            <w:right w:w="108" w:type="dxa"/>
          </w:tblCellMar>
        </w:tblPrEx>
        <w:trPr>
          <w:trHeight w:val="619" w:hRule="atLeast"/>
        </w:trPr>
        <w:tc>
          <w:tcPr>
            <w:tcW w:w="1463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r>
              <w:rPr>
                <w:rFonts w:hint="eastAsia" w:ascii="宋体" w:hAnsi="宋体" w:cs="宋体"/>
                <w:b/>
                <w:bCs/>
                <w:kern w:val="0"/>
                <w:sz w:val="20"/>
                <w:szCs w:val="20"/>
              </w:rPr>
              <w:t>荤菜粗加工</w:t>
            </w:r>
          </w:p>
        </w:tc>
      </w:tr>
      <w:tr>
        <w:tblPrEx>
          <w:tblCellMar>
            <w:top w:w="0" w:type="dxa"/>
            <w:left w:w="108" w:type="dxa"/>
            <w:bottom w:w="0" w:type="dxa"/>
            <w:right w:w="108" w:type="dxa"/>
          </w:tblCellMar>
        </w:tblPrEx>
        <w:trPr>
          <w:trHeight w:val="36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C01</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双星盆无下层板</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1200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2</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68480" behindDoc="0" locked="0" layoutInCell="1" allowOverlap="1">
                  <wp:simplePos x="0" y="0"/>
                  <wp:positionH relativeFrom="column">
                    <wp:posOffset>-8890</wp:posOffset>
                  </wp:positionH>
                  <wp:positionV relativeFrom="paragraph">
                    <wp:posOffset>43815</wp:posOffset>
                  </wp:positionV>
                  <wp:extent cx="1332865" cy="2277745"/>
                  <wp:effectExtent l="0" t="0" r="635" b="8255"/>
                  <wp:wrapNone/>
                  <wp:docPr id="93" name="图片_23"/>
                  <wp:cNvGraphicFramePr/>
                  <a:graphic xmlns:a="http://schemas.openxmlformats.org/drawingml/2006/main">
                    <a:graphicData uri="http://schemas.openxmlformats.org/drawingml/2006/picture">
                      <pic:pic xmlns:pic="http://schemas.openxmlformats.org/drawingml/2006/picture">
                        <pic:nvPicPr>
                          <pic:cNvPr id="93" name="图片_23"/>
                          <pic:cNvPicPr/>
                        </pic:nvPicPr>
                        <pic:blipFill>
                          <a:blip r:embed="rId15"/>
                          <a:stretch>
                            <a:fillRect/>
                          </a:stretch>
                        </pic:blipFill>
                        <pic:spPr>
                          <a:xfrm>
                            <a:off x="0" y="0"/>
                            <a:ext cx="1332865" cy="2277745"/>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台面：采用SUS304不锈钢板厚度1.2mm；星盆：SUS304不锈钢板厚度1.2mm，配不锈钢落水；脚通：SUS304不锈钢方管38*38*1.0mm；横管：SUS304不锈钢方管38*25*1.0mm；台脚：可调不锈钢子弹脚。</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343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配</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冷热水龙头</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4</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套</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69504" behindDoc="0" locked="0" layoutInCell="1" allowOverlap="1">
                  <wp:simplePos x="0" y="0"/>
                  <wp:positionH relativeFrom="column">
                    <wp:posOffset>-10795</wp:posOffset>
                  </wp:positionH>
                  <wp:positionV relativeFrom="paragraph">
                    <wp:posOffset>24765</wp:posOffset>
                  </wp:positionV>
                  <wp:extent cx="1303655" cy="2077720"/>
                  <wp:effectExtent l="0" t="0" r="10795" b="17780"/>
                  <wp:wrapNone/>
                  <wp:docPr id="94" name="图片_25"/>
                  <wp:cNvGraphicFramePr/>
                  <a:graphic xmlns:a="http://schemas.openxmlformats.org/drawingml/2006/main">
                    <a:graphicData uri="http://schemas.openxmlformats.org/drawingml/2006/picture">
                      <pic:pic xmlns:pic="http://schemas.openxmlformats.org/drawingml/2006/picture">
                        <pic:nvPicPr>
                          <pic:cNvPr id="94" name="图片_25"/>
                          <pic:cNvPicPr/>
                        </pic:nvPicPr>
                        <pic:blipFill>
                          <a:blip r:embed="rId16"/>
                          <a:stretch>
                            <a:fillRect/>
                          </a:stretch>
                        </pic:blipFill>
                        <pic:spPr>
                          <a:xfrm>
                            <a:off x="0" y="0"/>
                            <a:ext cx="1303655" cy="2077720"/>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 红太阳，EQUIP，华舟</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sz w:val="20"/>
                <w:szCs w:val="20"/>
              </w:rPr>
            </w:pPr>
          </w:p>
        </w:tc>
      </w:tr>
      <w:tr>
        <w:tblPrEx>
          <w:tblCellMar>
            <w:top w:w="0" w:type="dxa"/>
            <w:left w:w="108" w:type="dxa"/>
            <w:bottom w:w="0" w:type="dxa"/>
            <w:right w:w="108" w:type="dxa"/>
          </w:tblCellMar>
        </w:tblPrEx>
        <w:trPr>
          <w:trHeight w:val="295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C04</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工作台连下一层板</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1800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70528" behindDoc="0" locked="0" layoutInCell="1" allowOverlap="1">
                  <wp:simplePos x="0" y="0"/>
                  <wp:positionH relativeFrom="column">
                    <wp:posOffset>-37465</wp:posOffset>
                  </wp:positionH>
                  <wp:positionV relativeFrom="paragraph">
                    <wp:posOffset>46355</wp:posOffset>
                  </wp:positionV>
                  <wp:extent cx="1372235" cy="1877695"/>
                  <wp:effectExtent l="0" t="0" r="18415" b="8255"/>
                  <wp:wrapNone/>
                  <wp:docPr id="95" name="图片_28"/>
                  <wp:cNvGraphicFramePr/>
                  <a:graphic xmlns:a="http://schemas.openxmlformats.org/drawingml/2006/main">
                    <a:graphicData uri="http://schemas.openxmlformats.org/drawingml/2006/picture">
                      <pic:pic xmlns:pic="http://schemas.openxmlformats.org/drawingml/2006/picture">
                        <pic:nvPicPr>
                          <pic:cNvPr id="95" name="图片_28"/>
                          <pic:cNvPicPr/>
                        </pic:nvPicPr>
                        <pic:blipFill>
                          <a:blip r:embed="rId17"/>
                          <a:stretch>
                            <a:fillRect/>
                          </a:stretch>
                        </pic:blipFill>
                        <pic:spPr>
                          <a:xfrm>
                            <a:off x="0" y="0"/>
                            <a:ext cx="1372235" cy="1877695"/>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台面：采用SUS304不锈钢板厚度1.2mm；下衬15mm细木工板；层板：不锈钢板厚度1.0mm，下层板条格式；衬筋：不锈钢板厚度1.0mm；脚通：不锈钢方管38*38*1.0mm；台脚：可调不锈钢子弹脚。</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361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C05</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挂墙刀具消毒柜（8~10把）</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540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135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646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71552" behindDoc="0" locked="0" layoutInCell="1" allowOverlap="1">
                  <wp:simplePos x="0" y="0"/>
                  <wp:positionH relativeFrom="column">
                    <wp:posOffset>-46990</wp:posOffset>
                  </wp:positionH>
                  <wp:positionV relativeFrom="paragraph">
                    <wp:posOffset>12700</wp:posOffset>
                  </wp:positionV>
                  <wp:extent cx="1391920" cy="2231390"/>
                  <wp:effectExtent l="0" t="0" r="17780" b="16510"/>
                  <wp:wrapNone/>
                  <wp:docPr id="96" name="图片_30"/>
                  <wp:cNvGraphicFramePr/>
                  <a:graphic xmlns:a="http://schemas.openxmlformats.org/drawingml/2006/main">
                    <a:graphicData uri="http://schemas.openxmlformats.org/drawingml/2006/picture">
                      <pic:pic xmlns:pic="http://schemas.openxmlformats.org/drawingml/2006/picture">
                        <pic:nvPicPr>
                          <pic:cNvPr id="96" name="图片_30"/>
                          <pic:cNvPicPr/>
                        </pic:nvPicPr>
                        <pic:blipFill>
                          <a:blip r:embed="rId18"/>
                          <a:stretch>
                            <a:fillRect/>
                          </a:stretch>
                        </pic:blipFill>
                        <pic:spPr>
                          <a:xfrm>
                            <a:off x="0" y="0"/>
                            <a:ext cx="1391920" cy="2231390"/>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HEC，利高</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刀具消毒柜 柜身：采用SUS304不锈钢板厚度1.0mm；门板：采用6.0mm深色亚克力板；紫外线消毒技术、清洁卫生、120分钟定时器;可放置8~10把刀具。</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396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C06</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绞切肉机</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JQ400L-J</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620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490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72576" behindDoc="0" locked="0" layoutInCell="1" allowOverlap="1">
                  <wp:simplePos x="0" y="0"/>
                  <wp:positionH relativeFrom="column">
                    <wp:posOffset>161290</wp:posOffset>
                  </wp:positionH>
                  <wp:positionV relativeFrom="paragraph">
                    <wp:posOffset>196215</wp:posOffset>
                  </wp:positionV>
                  <wp:extent cx="1143635" cy="2865755"/>
                  <wp:effectExtent l="0" t="0" r="18415" b="10795"/>
                  <wp:wrapNone/>
                  <wp:docPr id="97" name="图片_31"/>
                  <wp:cNvGraphicFramePr/>
                  <a:graphic xmlns:a="http://schemas.openxmlformats.org/drawingml/2006/main">
                    <a:graphicData uri="http://schemas.openxmlformats.org/drawingml/2006/picture">
                      <pic:pic xmlns:pic="http://schemas.openxmlformats.org/drawingml/2006/picture">
                        <pic:nvPicPr>
                          <pic:cNvPr id="97" name="图片_31"/>
                          <pic:cNvPicPr/>
                        </pic:nvPicPr>
                        <pic:blipFill>
                          <a:blip r:embed="rId19"/>
                          <a:stretch>
                            <a:fillRect/>
                          </a:stretch>
                        </pic:blipFill>
                        <pic:spPr>
                          <a:xfrm>
                            <a:off x="0" y="0"/>
                            <a:ext cx="1143635" cy="2865755"/>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恒联，浩文</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1、悬臂式刀轴，方便拆装刀组及清洗。</w:t>
            </w:r>
            <w:r>
              <w:rPr>
                <w:rFonts w:hint="eastAsia" w:ascii="微软雅黑" w:hAnsi="微软雅黑" w:eastAsia="微软雅黑" w:cs="微软雅黑"/>
                <w:kern w:val="0"/>
                <w:sz w:val="20"/>
                <w:szCs w:val="20"/>
              </w:rPr>
              <w:br w:type="textWrapping"/>
            </w:r>
            <w:r>
              <w:rPr>
                <w:rFonts w:hint="eastAsia" w:ascii="微软雅黑" w:hAnsi="微软雅黑" w:eastAsia="微软雅黑" w:cs="微软雅黑"/>
                <w:kern w:val="0"/>
                <w:sz w:val="20"/>
                <w:szCs w:val="20"/>
              </w:rPr>
              <w:t>2、外置式切肉片刀组，置换和清洗方便。</w:t>
            </w:r>
            <w:r>
              <w:rPr>
                <w:rFonts w:hint="eastAsia" w:ascii="微软雅黑" w:hAnsi="微软雅黑" w:eastAsia="微软雅黑" w:cs="微软雅黑"/>
                <w:kern w:val="0"/>
                <w:sz w:val="20"/>
                <w:szCs w:val="20"/>
              </w:rPr>
              <w:br w:type="textWrapping"/>
            </w:r>
            <w:r>
              <w:rPr>
                <w:rFonts w:hint="eastAsia" w:ascii="微软雅黑" w:hAnsi="微软雅黑" w:eastAsia="微软雅黑" w:cs="微软雅黑"/>
                <w:kern w:val="0"/>
                <w:sz w:val="20"/>
                <w:szCs w:val="20"/>
              </w:rPr>
              <w:t>3、大容量肉盘，易于清洗。</w:t>
            </w:r>
            <w:r>
              <w:rPr>
                <w:rFonts w:hint="eastAsia" w:ascii="微软雅黑" w:hAnsi="微软雅黑" w:eastAsia="微软雅黑" w:cs="微软雅黑"/>
                <w:kern w:val="0"/>
                <w:sz w:val="20"/>
                <w:szCs w:val="20"/>
              </w:rPr>
              <w:br w:type="textWrapping"/>
            </w:r>
            <w:r>
              <w:rPr>
                <w:rFonts w:hint="eastAsia" w:ascii="微软雅黑" w:hAnsi="微软雅黑" w:eastAsia="微软雅黑" w:cs="微软雅黑"/>
                <w:kern w:val="0"/>
                <w:sz w:val="20"/>
                <w:szCs w:val="20"/>
              </w:rPr>
              <w:t>4、为确保操作安全，保护罩门关闭才能启动电机。打开保护罩门，电机即时停止运转，保障了人身安全。</w:t>
            </w:r>
            <w:r>
              <w:rPr>
                <w:rFonts w:hint="eastAsia" w:ascii="微软雅黑" w:hAnsi="微软雅黑" w:eastAsia="微软雅黑" w:cs="微软雅黑"/>
                <w:kern w:val="0"/>
                <w:sz w:val="20"/>
                <w:szCs w:val="20"/>
              </w:rPr>
              <w:br w:type="textWrapping"/>
            </w:r>
            <w:r>
              <w:rPr>
                <w:rFonts w:hint="eastAsia" w:ascii="微软雅黑" w:hAnsi="微软雅黑" w:eastAsia="微软雅黑" w:cs="微软雅黑"/>
                <w:kern w:val="0"/>
                <w:sz w:val="20"/>
                <w:szCs w:val="20"/>
              </w:rPr>
              <w:t>5、外置式绞肉套，便于拆下清洗。</w:t>
            </w:r>
            <w:r>
              <w:rPr>
                <w:rFonts w:hint="eastAsia" w:ascii="微软雅黑" w:hAnsi="微软雅黑" w:eastAsia="微软雅黑" w:cs="微软雅黑"/>
                <w:kern w:val="0"/>
                <w:sz w:val="20"/>
                <w:szCs w:val="20"/>
              </w:rPr>
              <w:br w:type="textWrapping"/>
            </w:r>
            <w:r>
              <w:rPr>
                <w:rFonts w:hint="eastAsia" w:ascii="微软雅黑" w:hAnsi="微软雅黑" w:eastAsia="微软雅黑" w:cs="微软雅黑"/>
                <w:kern w:val="0"/>
                <w:sz w:val="20"/>
                <w:szCs w:val="20"/>
              </w:rPr>
              <w:t>6、接触食品的零件都采用高级不锈钢材料制作，且线条流畅，易于清洁，且外形美观。</w:t>
            </w:r>
            <w:r>
              <w:rPr>
                <w:rFonts w:hint="eastAsia" w:ascii="微软雅黑" w:hAnsi="微软雅黑" w:eastAsia="微软雅黑" w:cs="微软雅黑"/>
                <w:kern w:val="0"/>
                <w:sz w:val="20"/>
                <w:szCs w:val="20"/>
              </w:rPr>
              <w:br w:type="textWrapping"/>
            </w:r>
            <w:r>
              <w:rPr>
                <w:rFonts w:hint="eastAsia" w:ascii="微软雅黑" w:hAnsi="微软雅黑" w:eastAsia="微软雅黑" w:cs="微软雅黑"/>
                <w:kern w:val="0"/>
                <w:sz w:val="20"/>
                <w:szCs w:val="20"/>
              </w:rPr>
              <w:t>7、切肉片生产能力400kg/h。</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265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C07</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四层平板冲孔货架</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1500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500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2</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73600" behindDoc="0" locked="0" layoutInCell="1" allowOverlap="1">
                  <wp:simplePos x="0" y="0"/>
                  <wp:positionH relativeFrom="column">
                    <wp:posOffset>-9525</wp:posOffset>
                  </wp:positionH>
                  <wp:positionV relativeFrom="paragraph">
                    <wp:posOffset>47625</wp:posOffset>
                  </wp:positionV>
                  <wp:extent cx="1438910" cy="1654175"/>
                  <wp:effectExtent l="0" t="0" r="8890" b="3175"/>
                  <wp:wrapNone/>
                  <wp:docPr id="98" name="图片_32"/>
                  <wp:cNvGraphicFramePr/>
                  <a:graphic xmlns:a="http://schemas.openxmlformats.org/drawingml/2006/main">
                    <a:graphicData uri="http://schemas.openxmlformats.org/drawingml/2006/picture">
                      <pic:pic xmlns:pic="http://schemas.openxmlformats.org/drawingml/2006/picture">
                        <pic:nvPicPr>
                          <pic:cNvPr id="98" name="图片_32"/>
                          <pic:cNvPicPr/>
                        </pic:nvPicPr>
                        <pic:blipFill>
                          <a:blip r:embed="rId20"/>
                          <a:stretch>
                            <a:fillRect/>
                          </a:stretch>
                        </pic:blipFill>
                        <pic:spPr>
                          <a:xfrm>
                            <a:off x="0" y="0"/>
                            <a:ext cx="1438910" cy="1654175"/>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层板：采用SUS304不锈钢板厚度1.2mm；平板式机制冲压成型，承受力强，焊接连接，坚固耐用，易清洁；衬筋：SUS304不锈钢板厚度1.0mm；脚通：SUS304不锈钢方管38*38*1.2mm；柱脚：可调不锈钢子弹脚。</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393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C08</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四门冷冻冷藏冰箱</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1220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760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1950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74624" behindDoc="0" locked="0" layoutInCell="1" allowOverlap="1">
                  <wp:simplePos x="0" y="0"/>
                  <wp:positionH relativeFrom="column">
                    <wp:posOffset>-10160</wp:posOffset>
                  </wp:positionH>
                  <wp:positionV relativeFrom="paragraph">
                    <wp:posOffset>21590</wp:posOffset>
                  </wp:positionV>
                  <wp:extent cx="1351280" cy="2433955"/>
                  <wp:effectExtent l="0" t="0" r="1270" b="4445"/>
                  <wp:wrapNone/>
                  <wp:docPr id="99" name="图片_33"/>
                  <wp:cNvGraphicFramePr/>
                  <a:graphic xmlns:a="http://schemas.openxmlformats.org/drawingml/2006/main">
                    <a:graphicData uri="http://schemas.openxmlformats.org/drawingml/2006/picture">
                      <pic:pic xmlns:pic="http://schemas.openxmlformats.org/drawingml/2006/picture">
                        <pic:nvPicPr>
                          <pic:cNvPr id="99" name="图片_33"/>
                          <pic:cNvPicPr/>
                        </pic:nvPicPr>
                        <pic:blipFill>
                          <a:blip r:embed="rId21"/>
                          <a:stretch>
                            <a:fillRect/>
                          </a:stretch>
                        </pic:blipFill>
                        <pic:spPr>
                          <a:xfrm>
                            <a:off x="0" y="0"/>
                            <a:ext cx="1351280" cy="2433955"/>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星星，金松，久景</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内外为全不锈钢材料,内为全铜管制冷系统，防锈抗腐,微电脑温度显示器,聚胺脂高压发泡；温度范围：冷冻-22℃~-18℃，电压/功率：220v/0.85kw</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351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C09</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洗地龙头</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5HR-232-01-A</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75648" behindDoc="0" locked="0" layoutInCell="1" allowOverlap="1">
                  <wp:simplePos x="0" y="0"/>
                  <wp:positionH relativeFrom="column">
                    <wp:posOffset>-38735</wp:posOffset>
                  </wp:positionH>
                  <wp:positionV relativeFrom="paragraph">
                    <wp:posOffset>35560</wp:posOffset>
                  </wp:positionV>
                  <wp:extent cx="1353185" cy="2146300"/>
                  <wp:effectExtent l="0" t="0" r="18415" b="6350"/>
                  <wp:wrapNone/>
                  <wp:docPr id="100" name="图片_35"/>
                  <wp:cNvGraphicFramePr/>
                  <a:graphic xmlns:a="http://schemas.openxmlformats.org/drawingml/2006/main">
                    <a:graphicData uri="http://schemas.openxmlformats.org/drawingml/2006/picture">
                      <pic:pic xmlns:pic="http://schemas.openxmlformats.org/drawingml/2006/picture">
                        <pic:nvPicPr>
                          <pic:cNvPr id="100" name="图片_35"/>
                          <pic:cNvPicPr/>
                        </pic:nvPicPr>
                        <pic:blipFill>
                          <a:blip r:embed="rId22"/>
                          <a:stretch>
                            <a:fillRect/>
                          </a:stretch>
                        </pic:blipFill>
                        <pic:spPr>
                          <a:xfrm>
                            <a:off x="0" y="0"/>
                            <a:ext cx="1353185" cy="2146300"/>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EQUIP，佑飞</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挂墙式冲地龙头，管长11 米。洗地龙头黑色软管材质：钢丝油压管,胶管选用特种合成橡胶配合制成，具有优良的耐油、耐热、耐老化性能。最大压力承受力：16MPA。外壳黑色碳钢喷塑,自动回卷。</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465" w:hRule="atLeast"/>
        </w:trPr>
        <w:tc>
          <w:tcPr>
            <w:tcW w:w="1463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r>
              <w:rPr>
                <w:rFonts w:hint="eastAsia" w:ascii="宋体" w:hAnsi="宋体" w:cs="宋体"/>
                <w:b/>
                <w:bCs/>
                <w:kern w:val="0"/>
                <w:sz w:val="20"/>
                <w:szCs w:val="20"/>
              </w:rPr>
              <w:t>面点间</w:t>
            </w:r>
          </w:p>
        </w:tc>
      </w:tr>
      <w:tr>
        <w:tblPrEx>
          <w:tblCellMar>
            <w:top w:w="0" w:type="dxa"/>
            <w:left w:w="108" w:type="dxa"/>
            <w:bottom w:w="0" w:type="dxa"/>
            <w:right w:w="108" w:type="dxa"/>
          </w:tblCellMar>
        </w:tblPrEx>
        <w:trPr>
          <w:trHeight w:val="348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D01</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单星盆无下层板</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76672" behindDoc="0" locked="0" layoutInCell="1" allowOverlap="1">
                  <wp:simplePos x="0" y="0"/>
                  <wp:positionH relativeFrom="column">
                    <wp:posOffset>-18415</wp:posOffset>
                  </wp:positionH>
                  <wp:positionV relativeFrom="paragraph">
                    <wp:posOffset>12700</wp:posOffset>
                  </wp:positionV>
                  <wp:extent cx="1360805" cy="2377440"/>
                  <wp:effectExtent l="0" t="0" r="10795" b="3810"/>
                  <wp:wrapNone/>
                  <wp:docPr id="101" name="图片_37"/>
                  <wp:cNvGraphicFramePr/>
                  <a:graphic xmlns:a="http://schemas.openxmlformats.org/drawingml/2006/main">
                    <a:graphicData uri="http://schemas.openxmlformats.org/drawingml/2006/picture">
                      <pic:pic xmlns:pic="http://schemas.openxmlformats.org/drawingml/2006/picture">
                        <pic:nvPicPr>
                          <pic:cNvPr id="101" name="图片_37"/>
                          <pic:cNvPicPr/>
                        </pic:nvPicPr>
                        <pic:blipFill>
                          <a:blip r:embed="rId23"/>
                          <a:stretch>
                            <a:fillRect/>
                          </a:stretch>
                        </pic:blipFill>
                        <pic:spPr>
                          <a:xfrm>
                            <a:off x="0" y="0"/>
                            <a:ext cx="1360805" cy="2377440"/>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台面：采用SUS304不锈钢板厚度1.2mm；衬筋：SUS304不锈钢板厚度1.0mm；星盆：SUS304不锈钢板厚度1.2mm，配不锈钢落水；脚通：SUS304不锈钢方管38*38*1.0mm；横管：SUS304不锈钢方管38*25*1.0mm；台脚：可调不锈钢子弹脚。</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318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配</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冷热水龙头</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套</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77696" behindDoc="0" locked="0" layoutInCell="1" allowOverlap="1">
                  <wp:simplePos x="0" y="0"/>
                  <wp:positionH relativeFrom="column">
                    <wp:posOffset>-20320</wp:posOffset>
                  </wp:positionH>
                  <wp:positionV relativeFrom="paragraph">
                    <wp:posOffset>35560</wp:posOffset>
                  </wp:positionV>
                  <wp:extent cx="1304925" cy="1951990"/>
                  <wp:effectExtent l="0" t="0" r="9525" b="10160"/>
                  <wp:wrapNone/>
                  <wp:docPr id="102" name="图片_38"/>
                  <wp:cNvGraphicFramePr/>
                  <a:graphic xmlns:a="http://schemas.openxmlformats.org/drawingml/2006/main">
                    <a:graphicData uri="http://schemas.openxmlformats.org/drawingml/2006/picture">
                      <pic:pic xmlns:pic="http://schemas.openxmlformats.org/drawingml/2006/picture">
                        <pic:nvPicPr>
                          <pic:cNvPr id="102" name="图片_38"/>
                          <pic:cNvPicPr/>
                        </pic:nvPicPr>
                        <pic:blipFill>
                          <a:blip r:embed="rId24"/>
                          <a:stretch>
                            <a:fillRect/>
                          </a:stretch>
                        </pic:blipFill>
                        <pic:spPr>
                          <a:xfrm>
                            <a:off x="0" y="0"/>
                            <a:ext cx="1304925" cy="1951990"/>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 红太阳，EQUIP，华舟</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p>
        </w:tc>
      </w:tr>
      <w:tr>
        <w:tblPrEx>
          <w:tblCellMar>
            <w:top w:w="0" w:type="dxa"/>
            <w:left w:w="108" w:type="dxa"/>
            <w:bottom w:w="0" w:type="dxa"/>
            <w:right w:w="108" w:type="dxa"/>
          </w:tblCellMar>
        </w:tblPrEx>
        <w:trPr>
          <w:trHeight w:val="408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D09</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落地型双缸双筛电炸炉</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690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895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1135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78720" behindDoc="0" locked="0" layoutInCell="1" allowOverlap="1">
                  <wp:simplePos x="0" y="0"/>
                  <wp:positionH relativeFrom="column">
                    <wp:posOffset>-28575</wp:posOffset>
                  </wp:positionH>
                  <wp:positionV relativeFrom="paragraph">
                    <wp:posOffset>22860</wp:posOffset>
                  </wp:positionV>
                  <wp:extent cx="1352550" cy="2538095"/>
                  <wp:effectExtent l="0" t="0" r="0" b="14605"/>
                  <wp:wrapNone/>
                  <wp:docPr id="103" name="图片_51"/>
                  <wp:cNvGraphicFramePr/>
                  <a:graphic xmlns:a="http://schemas.openxmlformats.org/drawingml/2006/main">
                    <a:graphicData uri="http://schemas.openxmlformats.org/drawingml/2006/picture">
                      <pic:pic xmlns:pic="http://schemas.openxmlformats.org/drawingml/2006/picture">
                        <pic:nvPicPr>
                          <pic:cNvPr id="103" name="图片_51"/>
                          <pic:cNvPicPr/>
                        </pic:nvPicPr>
                        <pic:blipFill>
                          <a:blip r:embed="rId25"/>
                          <a:stretch>
                            <a:fillRect/>
                          </a:stretch>
                        </pic:blipFill>
                        <pic:spPr>
                          <a:xfrm>
                            <a:off x="0" y="0"/>
                            <a:ext cx="1352550" cy="2538095"/>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Americhef，JUSTA</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电压：380V；功率：19.5KW；外形尺寸：1225*770*1540mm；采用优质发热元件，电脑板控制，油缸配独立放油阀，温度控制精准，特设高温安全保护装置，使使用操作更加安全方便</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465" w:hRule="atLeast"/>
        </w:trPr>
        <w:tc>
          <w:tcPr>
            <w:tcW w:w="1463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r>
              <w:rPr>
                <w:rFonts w:hint="eastAsia" w:ascii="宋体" w:hAnsi="宋体" w:cs="宋体"/>
                <w:b/>
                <w:bCs/>
                <w:kern w:val="0"/>
                <w:sz w:val="22"/>
                <w:szCs w:val="22"/>
              </w:rPr>
              <w:t>烹饪间</w:t>
            </w:r>
          </w:p>
        </w:tc>
      </w:tr>
      <w:tr>
        <w:tblPrEx>
          <w:tblCellMar>
            <w:top w:w="0" w:type="dxa"/>
            <w:left w:w="108" w:type="dxa"/>
            <w:bottom w:w="0" w:type="dxa"/>
            <w:right w:w="108" w:type="dxa"/>
          </w:tblCellMar>
        </w:tblPrEx>
        <w:trPr>
          <w:trHeight w:val="366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E01</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电磁单炒单尾炒灶</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1100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1100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400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79744" behindDoc="0" locked="0" layoutInCell="1" allowOverlap="1">
                  <wp:simplePos x="0" y="0"/>
                  <wp:positionH relativeFrom="column">
                    <wp:posOffset>-67310</wp:posOffset>
                  </wp:positionH>
                  <wp:positionV relativeFrom="paragraph">
                    <wp:posOffset>24765</wp:posOffset>
                  </wp:positionV>
                  <wp:extent cx="1391920" cy="2265680"/>
                  <wp:effectExtent l="0" t="0" r="17780" b="1270"/>
                  <wp:wrapNone/>
                  <wp:docPr id="104" name="图片_55"/>
                  <wp:cNvGraphicFramePr/>
                  <a:graphic xmlns:a="http://schemas.openxmlformats.org/drawingml/2006/main">
                    <a:graphicData uri="http://schemas.openxmlformats.org/drawingml/2006/picture">
                      <pic:pic xmlns:pic="http://schemas.openxmlformats.org/drawingml/2006/picture">
                        <pic:nvPicPr>
                          <pic:cNvPr id="104" name="图片_55"/>
                          <pic:cNvPicPr/>
                        </pic:nvPicPr>
                        <pic:blipFill>
                          <a:blip r:embed="rId26"/>
                          <a:stretch>
                            <a:fillRect/>
                          </a:stretch>
                        </pic:blipFill>
                        <pic:spPr>
                          <a:xfrm>
                            <a:off x="0" y="0"/>
                            <a:ext cx="1391920" cy="2265680"/>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Americhef，沁鑫</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玻璃Ø400 锅500</w:t>
            </w:r>
            <w:r>
              <w:rPr>
                <w:rFonts w:hint="eastAsia" w:ascii="微软雅黑" w:hAnsi="微软雅黑" w:eastAsia="微软雅黑" w:cs="微软雅黑"/>
                <w:kern w:val="0"/>
                <w:sz w:val="20"/>
                <w:szCs w:val="20"/>
              </w:rPr>
              <w:br w:type="textWrapping"/>
            </w:r>
            <w:r>
              <w:rPr>
                <w:rFonts w:hint="eastAsia" w:ascii="微软雅黑" w:hAnsi="微软雅黑" w:eastAsia="微软雅黑" w:cs="微软雅黑"/>
                <w:kern w:val="0"/>
                <w:sz w:val="20"/>
                <w:szCs w:val="20"/>
              </w:rPr>
              <w:t xml:space="preserve">规格：1100x1100x800+400   </w:t>
            </w:r>
            <w:r>
              <w:rPr>
                <w:rFonts w:hint="eastAsia" w:ascii="微软雅黑" w:hAnsi="微软雅黑" w:eastAsia="微软雅黑" w:cs="微软雅黑"/>
                <w:kern w:val="0"/>
                <w:sz w:val="20"/>
                <w:szCs w:val="20"/>
              </w:rPr>
              <w:br w:type="textWrapping"/>
            </w:r>
            <w:r>
              <w:rPr>
                <w:rFonts w:hint="eastAsia" w:ascii="微软雅黑" w:hAnsi="微软雅黑" w:eastAsia="微软雅黑" w:cs="微软雅黑"/>
                <w:kern w:val="0"/>
                <w:sz w:val="20"/>
                <w:szCs w:val="20"/>
              </w:rPr>
              <w:t>材料：不锈钢304#1.5mm板材制作</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375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E02</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炉拼台</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400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1100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400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5</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80768" behindDoc="0" locked="0" layoutInCell="1" allowOverlap="1">
                  <wp:simplePos x="0" y="0"/>
                  <wp:positionH relativeFrom="column">
                    <wp:posOffset>-19050</wp:posOffset>
                  </wp:positionH>
                  <wp:positionV relativeFrom="paragraph">
                    <wp:posOffset>35560</wp:posOffset>
                  </wp:positionV>
                  <wp:extent cx="1353185" cy="2320290"/>
                  <wp:effectExtent l="0" t="0" r="18415" b="3810"/>
                  <wp:wrapNone/>
                  <wp:docPr id="105" name="图片_57"/>
                  <wp:cNvGraphicFramePr/>
                  <a:graphic xmlns:a="http://schemas.openxmlformats.org/drawingml/2006/main">
                    <a:graphicData uri="http://schemas.openxmlformats.org/drawingml/2006/picture">
                      <pic:pic xmlns:pic="http://schemas.openxmlformats.org/drawingml/2006/picture">
                        <pic:nvPicPr>
                          <pic:cNvPr id="105" name="图片_57"/>
                          <pic:cNvPicPr/>
                        </pic:nvPicPr>
                        <pic:blipFill>
                          <a:blip r:embed="rId27"/>
                          <a:stretch>
                            <a:fillRect/>
                          </a:stretch>
                        </pic:blipFill>
                        <pic:spPr>
                          <a:xfrm>
                            <a:off x="0" y="0"/>
                            <a:ext cx="1353185" cy="2320290"/>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台面：采用SUS304不锈钢板厚度1.2mm；衬筋：不锈钢板厚度1.0mm；脚通：不锈钢方管38*38*1.0mm；台脚：可调不锈钢子弹脚。</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385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E03</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电磁单口大锅灶</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1100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1100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400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2</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81792" behindDoc="0" locked="0" layoutInCell="1" allowOverlap="1">
                  <wp:simplePos x="0" y="0"/>
                  <wp:positionH relativeFrom="column">
                    <wp:posOffset>-29210</wp:posOffset>
                  </wp:positionH>
                  <wp:positionV relativeFrom="paragraph">
                    <wp:posOffset>57785</wp:posOffset>
                  </wp:positionV>
                  <wp:extent cx="1382395" cy="2379980"/>
                  <wp:effectExtent l="0" t="0" r="8255" b="1270"/>
                  <wp:wrapNone/>
                  <wp:docPr id="106" name="图片_59"/>
                  <wp:cNvGraphicFramePr/>
                  <a:graphic xmlns:a="http://schemas.openxmlformats.org/drawingml/2006/main">
                    <a:graphicData uri="http://schemas.openxmlformats.org/drawingml/2006/picture">
                      <pic:pic xmlns:pic="http://schemas.openxmlformats.org/drawingml/2006/picture">
                        <pic:nvPicPr>
                          <pic:cNvPr id="106" name="图片_59"/>
                          <pic:cNvPicPr/>
                        </pic:nvPicPr>
                        <pic:blipFill>
                          <a:blip r:embed="rId28"/>
                          <a:stretch>
                            <a:fillRect/>
                          </a:stretch>
                        </pic:blipFill>
                        <pic:spPr>
                          <a:xfrm>
                            <a:off x="0" y="0"/>
                            <a:ext cx="1382395" cy="2379980"/>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Americhef，沁鑫</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br w:type="textWrapping"/>
            </w:r>
            <w:r>
              <w:rPr>
                <w:rFonts w:hint="eastAsia" w:ascii="微软雅黑" w:hAnsi="微软雅黑" w:eastAsia="微软雅黑" w:cs="微软雅黑"/>
                <w:kern w:val="0"/>
                <w:sz w:val="20"/>
                <w:szCs w:val="20"/>
              </w:rPr>
              <w:t xml:space="preserve">规格：1100x1100x800+400   </w:t>
            </w:r>
            <w:r>
              <w:rPr>
                <w:rFonts w:hint="eastAsia" w:ascii="微软雅黑" w:hAnsi="微软雅黑" w:eastAsia="微软雅黑" w:cs="微软雅黑"/>
                <w:kern w:val="0"/>
                <w:sz w:val="20"/>
                <w:szCs w:val="20"/>
              </w:rPr>
              <w:br w:type="textWrapping"/>
            </w:r>
            <w:r>
              <w:rPr>
                <w:rFonts w:hint="eastAsia" w:ascii="微软雅黑" w:hAnsi="微软雅黑" w:eastAsia="微软雅黑" w:cs="微软雅黑"/>
                <w:kern w:val="0"/>
                <w:sz w:val="20"/>
                <w:szCs w:val="20"/>
              </w:rPr>
              <w:t>材料：不锈钢304#1.5mm板材制作</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366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E04</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炉拼台</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600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400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82816" behindDoc="0" locked="0" layoutInCell="1" allowOverlap="1">
                  <wp:simplePos x="0" y="0"/>
                  <wp:positionH relativeFrom="column">
                    <wp:posOffset>-38100</wp:posOffset>
                  </wp:positionH>
                  <wp:positionV relativeFrom="paragraph">
                    <wp:posOffset>43815</wp:posOffset>
                  </wp:positionV>
                  <wp:extent cx="1390650" cy="2246630"/>
                  <wp:effectExtent l="0" t="0" r="0" b="1270"/>
                  <wp:wrapNone/>
                  <wp:docPr id="107" name="图片_60"/>
                  <wp:cNvGraphicFramePr/>
                  <a:graphic xmlns:a="http://schemas.openxmlformats.org/drawingml/2006/main">
                    <a:graphicData uri="http://schemas.openxmlformats.org/drawingml/2006/picture">
                      <pic:pic xmlns:pic="http://schemas.openxmlformats.org/drawingml/2006/picture">
                        <pic:nvPicPr>
                          <pic:cNvPr id="107" name="图片_60"/>
                          <pic:cNvPicPr/>
                        </pic:nvPicPr>
                        <pic:blipFill>
                          <a:blip r:embed="rId27"/>
                          <a:stretch>
                            <a:fillRect/>
                          </a:stretch>
                        </pic:blipFill>
                        <pic:spPr>
                          <a:xfrm>
                            <a:off x="0" y="0"/>
                            <a:ext cx="1390650" cy="2246630"/>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台面：采用SUS304不锈钢板厚度1.2mm；衬筋：不锈钢板厚度1.0mm；脚通：不锈钢方管38*38*1.0mm；台脚：可调不锈钢子弹脚。</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231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E05</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双通移门工作台柜</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1800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5</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83840" behindDoc="0" locked="0" layoutInCell="1" allowOverlap="1">
                  <wp:simplePos x="0" y="0"/>
                  <wp:positionH relativeFrom="column">
                    <wp:posOffset>38735</wp:posOffset>
                  </wp:positionH>
                  <wp:positionV relativeFrom="paragraph">
                    <wp:posOffset>122555</wp:posOffset>
                  </wp:positionV>
                  <wp:extent cx="1276350" cy="2141855"/>
                  <wp:effectExtent l="0" t="0" r="0" b="10795"/>
                  <wp:wrapNone/>
                  <wp:docPr id="108" name="图片_62"/>
                  <wp:cNvGraphicFramePr/>
                  <a:graphic xmlns:a="http://schemas.openxmlformats.org/drawingml/2006/main">
                    <a:graphicData uri="http://schemas.openxmlformats.org/drawingml/2006/picture">
                      <pic:pic xmlns:pic="http://schemas.openxmlformats.org/drawingml/2006/picture">
                        <pic:nvPicPr>
                          <pic:cNvPr id="108" name="图片_62"/>
                          <pic:cNvPicPr/>
                        </pic:nvPicPr>
                        <pic:blipFill>
                          <a:blip r:embed="rId29"/>
                          <a:stretch>
                            <a:fillRect/>
                          </a:stretch>
                        </pic:blipFill>
                        <pic:spPr>
                          <a:xfrm>
                            <a:off x="0" y="0"/>
                            <a:ext cx="1276350" cy="2141855"/>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台面：采用SUS304不锈钢板厚度1.2mm；层板/侧板：SUS304不锈钢板厚度1.0mm；柜门/衬筋：SUS304不锈钢板厚度1.0mm；门胆/背板：SUS304不锈钢板厚度0.8mm，双层门；底边：暗沟式定位滑槽；上滑道、静音吊轮；台脚：可调不锈钢重力脚。</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300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E06</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油网烟罩连新风</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9600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1300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500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84864" behindDoc="0" locked="0" layoutInCell="1" allowOverlap="1">
                  <wp:simplePos x="0" y="0"/>
                  <wp:positionH relativeFrom="column">
                    <wp:posOffset>-28575</wp:posOffset>
                  </wp:positionH>
                  <wp:positionV relativeFrom="paragraph">
                    <wp:posOffset>38100</wp:posOffset>
                  </wp:positionV>
                  <wp:extent cx="1343025" cy="1830705"/>
                  <wp:effectExtent l="0" t="0" r="9525" b="17145"/>
                  <wp:wrapNone/>
                  <wp:docPr id="109" name="图片_63"/>
                  <wp:cNvGraphicFramePr/>
                  <a:graphic xmlns:a="http://schemas.openxmlformats.org/drawingml/2006/main">
                    <a:graphicData uri="http://schemas.openxmlformats.org/drawingml/2006/picture">
                      <pic:pic xmlns:pic="http://schemas.openxmlformats.org/drawingml/2006/picture">
                        <pic:nvPicPr>
                          <pic:cNvPr id="109" name="图片_63"/>
                          <pic:cNvPicPr/>
                        </pic:nvPicPr>
                        <pic:blipFill>
                          <a:blip r:embed="rId30"/>
                          <a:stretch>
                            <a:fillRect/>
                          </a:stretch>
                        </pic:blipFill>
                        <pic:spPr>
                          <a:xfrm>
                            <a:off x="0" y="0"/>
                            <a:ext cx="1343025" cy="1830705"/>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罩体板：采用SUS304不锈钢板厚度1.2mm；两侧板：采用SUS304不锈钢板厚度1.0mm</w:t>
            </w:r>
            <w:r>
              <w:rPr>
                <w:rFonts w:hint="eastAsia" w:ascii="微软雅黑" w:hAnsi="微软雅黑" w:eastAsia="微软雅黑" w:cs="微软雅黑"/>
                <w:kern w:val="0"/>
                <w:sz w:val="20"/>
                <w:szCs w:val="20"/>
              </w:rPr>
              <w:br w:type="textWrapping"/>
            </w:r>
            <w:r>
              <w:rPr>
                <w:rFonts w:hint="eastAsia" w:ascii="微软雅黑" w:hAnsi="微软雅黑" w:eastAsia="微软雅黑" w:cs="微软雅黑"/>
                <w:kern w:val="0"/>
                <w:sz w:val="20"/>
                <w:szCs w:val="20"/>
              </w:rPr>
              <w:t>滤油板：采用SUS304不锈钢板厚度1.0mm；烟罩带新风口</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303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E07</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电力可倾汤锅（100L）</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1247</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775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891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85888" behindDoc="0" locked="0" layoutInCell="1" allowOverlap="1">
                  <wp:simplePos x="0" y="0"/>
                  <wp:positionH relativeFrom="column">
                    <wp:posOffset>-37465</wp:posOffset>
                  </wp:positionH>
                  <wp:positionV relativeFrom="paragraph">
                    <wp:posOffset>59055</wp:posOffset>
                  </wp:positionV>
                  <wp:extent cx="1372870" cy="1849755"/>
                  <wp:effectExtent l="0" t="0" r="17780" b="17145"/>
                  <wp:wrapNone/>
                  <wp:docPr id="110" name="图片_65"/>
                  <wp:cNvGraphicFramePr/>
                  <a:graphic xmlns:a="http://schemas.openxmlformats.org/drawingml/2006/main">
                    <a:graphicData uri="http://schemas.openxmlformats.org/drawingml/2006/picture">
                      <pic:pic xmlns:pic="http://schemas.openxmlformats.org/drawingml/2006/picture">
                        <pic:nvPicPr>
                          <pic:cNvPr id="110" name="图片_65"/>
                          <pic:cNvPicPr/>
                        </pic:nvPicPr>
                        <pic:blipFill>
                          <a:blip r:embed="rId31"/>
                          <a:stretch>
                            <a:fillRect/>
                          </a:stretch>
                        </pic:blipFill>
                        <pic:spPr>
                          <a:xfrm>
                            <a:off x="0" y="0"/>
                            <a:ext cx="1372870" cy="1849755"/>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Americhef，沁鑫</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p>
        </w:tc>
      </w:tr>
      <w:tr>
        <w:tblPrEx>
          <w:tblCellMar>
            <w:top w:w="0" w:type="dxa"/>
            <w:left w:w="108" w:type="dxa"/>
            <w:bottom w:w="0" w:type="dxa"/>
            <w:right w:w="108" w:type="dxa"/>
          </w:tblCellMar>
        </w:tblPrEx>
        <w:trPr>
          <w:trHeight w:val="391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E08</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电力双门蒸饭柜（24盘）</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1300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1650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2</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86912" behindDoc="0" locked="0" layoutInCell="1" allowOverlap="1">
                  <wp:simplePos x="0" y="0"/>
                  <wp:positionH relativeFrom="column">
                    <wp:posOffset>-28575</wp:posOffset>
                  </wp:positionH>
                  <wp:positionV relativeFrom="paragraph">
                    <wp:posOffset>31115</wp:posOffset>
                  </wp:positionV>
                  <wp:extent cx="1343025" cy="2756535"/>
                  <wp:effectExtent l="0" t="0" r="9525" b="5715"/>
                  <wp:wrapNone/>
                  <wp:docPr id="111" name="图片_67"/>
                  <wp:cNvGraphicFramePr/>
                  <a:graphic xmlns:a="http://schemas.openxmlformats.org/drawingml/2006/main">
                    <a:graphicData uri="http://schemas.openxmlformats.org/drawingml/2006/picture">
                      <pic:pic xmlns:pic="http://schemas.openxmlformats.org/drawingml/2006/picture">
                        <pic:nvPicPr>
                          <pic:cNvPr id="111" name="图片_67"/>
                          <pic:cNvPicPr/>
                        </pic:nvPicPr>
                        <pic:blipFill>
                          <a:blip r:embed="rId32"/>
                          <a:stretch>
                            <a:fillRect/>
                          </a:stretch>
                        </pic:blipFill>
                        <pic:spPr>
                          <a:xfrm>
                            <a:off x="0" y="0"/>
                            <a:ext cx="1343025" cy="2756535"/>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Americhef，伊德欣</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蒸饭:120KG,24盘; 电压/功率：380V 12KW*2;箱体：采用SUS304不锈钢板厚度1.2mm；内胆：SUS304不锈钢板厚度1.0mm；搁条：不锈钢板厚度0.8mm；三角槽焊接在箱体上；饭盘：SUS304不锈钢板厚度0.8mm；             保温：箱体不准采用整体发泡，必须采用保温棉，其他聚氨酯发泡；手柄：手轮渐进式门锁铰；</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312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E09</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L型抽汽罩</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7700+3600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1300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500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87936" behindDoc="0" locked="0" layoutInCell="1" allowOverlap="1">
                  <wp:simplePos x="0" y="0"/>
                  <wp:positionH relativeFrom="column">
                    <wp:posOffset>-19050</wp:posOffset>
                  </wp:positionH>
                  <wp:positionV relativeFrom="paragraph">
                    <wp:posOffset>53975</wp:posOffset>
                  </wp:positionV>
                  <wp:extent cx="1343025" cy="1903095"/>
                  <wp:effectExtent l="0" t="0" r="9525" b="1905"/>
                  <wp:wrapNone/>
                  <wp:docPr id="112" name="图片_68"/>
                  <wp:cNvGraphicFramePr/>
                  <a:graphic xmlns:a="http://schemas.openxmlformats.org/drawingml/2006/main">
                    <a:graphicData uri="http://schemas.openxmlformats.org/drawingml/2006/picture">
                      <pic:pic xmlns:pic="http://schemas.openxmlformats.org/drawingml/2006/picture">
                        <pic:nvPicPr>
                          <pic:cNvPr id="112" name="图片_68"/>
                          <pic:cNvPicPr/>
                        </pic:nvPicPr>
                        <pic:blipFill>
                          <a:blip r:embed="rId33"/>
                          <a:stretch>
                            <a:fillRect/>
                          </a:stretch>
                        </pic:blipFill>
                        <pic:spPr>
                          <a:xfrm>
                            <a:off x="0" y="0"/>
                            <a:ext cx="1343025" cy="1903095"/>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罩体板：采用SUS304不锈钢板厚度1.2mm；两侧板：采用SUS304不锈钢板厚度1.0mm； 滤油板：采用SUS304不锈钢板厚度1.0mm；</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351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E10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洗地龙头</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5HR-232-01-A</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szCs w:val="20"/>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88960" behindDoc="0" locked="0" layoutInCell="1" allowOverlap="1">
                  <wp:simplePos x="0" y="0"/>
                  <wp:positionH relativeFrom="column">
                    <wp:posOffset>-8890</wp:posOffset>
                  </wp:positionH>
                  <wp:positionV relativeFrom="paragraph">
                    <wp:posOffset>60325</wp:posOffset>
                  </wp:positionV>
                  <wp:extent cx="1325245" cy="2127250"/>
                  <wp:effectExtent l="0" t="0" r="8255" b="6350"/>
                  <wp:wrapNone/>
                  <wp:docPr id="113" name="图片_69"/>
                  <wp:cNvGraphicFramePr/>
                  <a:graphic xmlns:a="http://schemas.openxmlformats.org/drawingml/2006/main">
                    <a:graphicData uri="http://schemas.openxmlformats.org/drawingml/2006/picture">
                      <pic:pic xmlns:pic="http://schemas.openxmlformats.org/drawingml/2006/picture">
                        <pic:nvPicPr>
                          <pic:cNvPr id="113" name="图片_69"/>
                          <pic:cNvPicPr/>
                        </pic:nvPicPr>
                        <pic:blipFill>
                          <a:blip r:embed="rId34"/>
                          <a:stretch>
                            <a:fillRect/>
                          </a:stretch>
                        </pic:blipFill>
                        <pic:spPr>
                          <a:xfrm>
                            <a:off x="0" y="0"/>
                            <a:ext cx="1325245" cy="2127250"/>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EQUIP，佑飞</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挂墙式冲地龙头，管长11 米。洗地龙头黑色软管材质：钢丝油压管,胶管选用特种合成橡胶配合制成，具有优良的耐油、耐热、耐老化性能。最大压力承受力：16MPA。外壳黑色碳钢喷塑,自动回卷。</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465" w:hRule="atLeast"/>
        </w:trPr>
        <w:tc>
          <w:tcPr>
            <w:tcW w:w="1463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2"/>
                <w:szCs w:val="22"/>
              </w:rPr>
            </w:pPr>
            <w:r>
              <w:rPr>
                <w:rFonts w:hint="eastAsia" w:ascii="宋体" w:hAnsi="宋体" w:cs="宋体"/>
                <w:b/>
                <w:bCs/>
                <w:kern w:val="0"/>
                <w:sz w:val="22"/>
                <w:szCs w:val="22"/>
              </w:rPr>
              <w:t>备餐间</w:t>
            </w:r>
          </w:p>
        </w:tc>
      </w:tr>
      <w:tr>
        <w:tblPrEx>
          <w:tblCellMar>
            <w:top w:w="0" w:type="dxa"/>
            <w:left w:w="108" w:type="dxa"/>
            <w:bottom w:w="0" w:type="dxa"/>
            <w:right w:w="108" w:type="dxa"/>
          </w:tblCellMar>
        </w:tblPrEx>
        <w:trPr>
          <w:trHeight w:val="322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F01</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单星洗手池</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500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500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89984" behindDoc="0" locked="0" layoutInCell="1" allowOverlap="1">
                  <wp:simplePos x="0" y="0"/>
                  <wp:positionH relativeFrom="column">
                    <wp:posOffset>-28575</wp:posOffset>
                  </wp:positionH>
                  <wp:positionV relativeFrom="paragraph">
                    <wp:posOffset>46990</wp:posOffset>
                  </wp:positionV>
                  <wp:extent cx="1351915" cy="1991360"/>
                  <wp:effectExtent l="0" t="0" r="635" b="8890"/>
                  <wp:wrapNone/>
                  <wp:docPr id="114" name="图片_70"/>
                  <wp:cNvGraphicFramePr/>
                  <a:graphic xmlns:a="http://schemas.openxmlformats.org/drawingml/2006/main">
                    <a:graphicData uri="http://schemas.openxmlformats.org/drawingml/2006/picture">
                      <pic:pic xmlns:pic="http://schemas.openxmlformats.org/drawingml/2006/picture">
                        <pic:nvPicPr>
                          <pic:cNvPr id="114" name="图片_70"/>
                          <pic:cNvPicPr/>
                        </pic:nvPicPr>
                        <pic:blipFill>
                          <a:blip r:embed="rId35"/>
                          <a:stretch>
                            <a:fillRect/>
                          </a:stretch>
                        </pic:blipFill>
                        <pic:spPr>
                          <a:xfrm>
                            <a:off x="0" y="0"/>
                            <a:ext cx="1351915" cy="1991360"/>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台面: 采用SUS304不锈钢板厚度1.2mm；</w:t>
            </w:r>
            <w:r>
              <w:rPr>
                <w:rFonts w:hint="eastAsia" w:ascii="微软雅黑" w:hAnsi="微软雅黑" w:eastAsia="微软雅黑" w:cs="微软雅黑"/>
                <w:kern w:val="0"/>
                <w:sz w:val="20"/>
                <w:szCs w:val="20"/>
              </w:rPr>
              <w:br w:type="textWrapping"/>
            </w:r>
            <w:r>
              <w:rPr>
                <w:rFonts w:hint="eastAsia" w:ascii="微软雅黑" w:hAnsi="微软雅黑" w:eastAsia="微软雅黑" w:cs="微软雅黑"/>
                <w:kern w:val="0"/>
                <w:sz w:val="20"/>
                <w:szCs w:val="20"/>
              </w:rPr>
              <w:t>星盆: SUS304不锈钢板厚度1.0mm;</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348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配</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脚踏冷热水龙头</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套</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91008" behindDoc="0" locked="0" layoutInCell="1" allowOverlap="1">
                  <wp:simplePos x="0" y="0"/>
                  <wp:positionH relativeFrom="column">
                    <wp:posOffset>-17780</wp:posOffset>
                  </wp:positionH>
                  <wp:positionV relativeFrom="paragraph">
                    <wp:posOffset>55880</wp:posOffset>
                  </wp:positionV>
                  <wp:extent cx="1344930" cy="2133600"/>
                  <wp:effectExtent l="0" t="0" r="7620" b="0"/>
                  <wp:wrapNone/>
                  <wp:docPr id="115" name="图片_72"/>
                  <wp:cNvGraphicFramePr/>
                  <a:graphic xmlns:a="http://schemas.openxmlformats.org/drawingml/2006/main">
                    <a:graphicData uri="http://schemas.openxmlformats.org/drawingml/2006/picture">
                      <pic:pic xmlns:pic="http://schemas.openxmlformats.org/drawingml/2006/picture">
                        <pic:nvPicPr>
                          <pic:cNvPr id="115" name="图片_72"/>
                          <pic:cNvPicPr/>
                        </pic:nvPicPr>
                        <pic:blipFill>
                          <a:blip r:embed="rId36"/>
                          <a:stretch>
                            <a:fillRect/>
                          </a:stretch>
                        </pic:blipFill>
                        <pic:spPr>
                          <a:xfrm>
                            <a:off x="0" y="0"/>
                            <a:ext cx="1344930" cy="2133600"/>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 红太阳，EQUIP，华舟</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p>
        </w:tc>
      </w:tr>
      <w:tr>
        <w:tblPrEx>
          <w:tblCellMar>
            <w:top w:w="0" w:type="dxa"/>
            <w:left w:w="108" w:type="dxa"/>
            <w:bottom w:w="0" w:type="dxa"/>
            <w:right w:w="108" w:type="dxa"/>
          </w:tblCellMar>
        </w:tblPrEx>
        <w:trPr>
          <w:trHeight w:val="273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F02</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工作台连下一层板</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850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3</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92032" behindDoc="0" locked="0" layoutInCell="1" allowOverlap="1">
                  <wp:simplePos x="0" y="0"/>
                  <wp:positionH relativeFrom="column">
                    <wp:posOffset>-28575</wp:posOffset>
                  </wp:positionH>
                  <wp:positionV relativeFrom="paragraph">
                    <wp:posOffset>94615</wp:posOffset>
                  </wp:positionV>
                  <wp:extent cx="1334135" cy="1621790"/>
                  <wp:effectExtent l="0" t="0" r="18415" b="16510"/>
                  <wp:wrapNone/>
                  <wp:docPr id="116" name="图片_73"/>
                  <wp:cNvGraphicFramePr/>
                  <a:graphic xmlns:a="http://schemas.openxmlformats.org/drawingml/2006/main">
                    <a:graphicData uri="http://schemas.openxmlformats.org/drawingml/2006/picture">
                      <pic:pic xmlns:pic="http://schemas.openxmlformats.org/drawingml/2006/picture">
                        <pic:nvPicPr>
                          <pic:cNvPr id="116" name="图片_73"/>
                          <pic:cNvPicPr/>
                        </pic:nvPicPr>
                        <pic:blipFill>
                          <a:blip r:embed="rId37"/>
                          <a:stretch>
                            <a:fillRect/>
                          </a:stretch>
                        </pic:blipFill>
                        <pic:spPr>
                          <a:xfrm>
                            <a:off x="0" y="0"/>
                            <a:ext cx="1334135" cy="1621790"/>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台面：采用SUS304不锈钢板厚度1.2mm；下衬15mm细木工板；层板：不锈钢板厚度1.0mm，下层板条格式；衬筋：不锈钢板厚度1.0mm；脚通：不锈钢方管38*38*1.0mm；台脚：可调不锈钢子弹脚。</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382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F03</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四格保温配餐台</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1500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2</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93056" behindDoc="0" locked="0" layoutInCell="1" allowOverlap="1">
                  <wp:simplePos x="0" y="0"/>
                  <wp:positionH relativeFrom="column">
                    <wp:posOffset>-47625</wp:posOffset>
                  </wp:positionH>
                  <wp:positionV relativeFrom="paragraph">
                    <wp:posOffset>28575</wp:posOffset>
                  </wp:positionV>
                  <wp:extent cx="1380490" cy="2972435"/>
                  <wp:effectExtent l="0" t="0" r="10160" b="18415"/>
                  <wp:wrapNone/>
                  <wp:docPr id="117" name="图片_76"/>
                  <wp:cNvGraphicFramePr/>
                  <a:graphic xmlns:a="http://schemas.openxmlformats.org/drawingml/2006/main">
                    <a:graphicData uri="http://schemas.openxmlformats.org/drawingml/2006/picture">
                      <pic:pic xmlns:pic="http://schemas.openxmlformats.org/drawingml/2006/picture">
                        <pic:nvPicPr>
                          <pic:cNvPr id="117" name="图片_76"/>
                          <pic:cNvPicPr/>
                        </pic:nvPicPr>
                        <pic:blipFill>
                          <a:blip r:embed="rId38"/>
                          <a:stretch>
                            <a:fillRect/>
                          </a:stretch>
                        </pic:blipFill>
                        <pic:spPr>
                          <a:xfrm>
                            <a:off x="0" y="0"/>
                            <a:ext cx="1380490" cy="2972435"/>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台面：采用SUS304不锈钢板厚度1.2mm；侧板：SUS304不锈钢板厚度1.0mm；衬筋：SUS304不锈钢板厚度1.0mm；电压/功率：220V 3KW; 电加热：恒温控制；脚通：SUS304不锈钢方管38*38*1.0mm；横管：SUS304不锈钢方管38*25*1.0mm；台脚：可调不锈钢子弹脚。配4个带盖份数盒530*325*150</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300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F04</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单通移门工作台柜</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1500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94080" behindDoc="0" locked="0" layoutInCell="1" allowOverlap="1">
                  <wp:simplePos x="0" y="0"/>
                  <wp:positionH relativeFrom="column">
                    <wp:posOffset>-28575</wp:posOffset>
                  </wp:positionH>
                  <wp:positionV relativeFrom="paragraph">
                    <wp:posOffset>43815</wp:posOffset>
                  </wp:positionV>
                  <wp:extent cx="1352550" cy="2330450"/>
                  <wp:effectExtent l="0" t="0" r="0" b="12700"/>
                  <wp:wrapNone/>
                  <wp:docPr id="118" name="图片_79"/>
                  <wp:cNvGraphicFramePr/>
                  <a:graphic xmlns:a="http://schemas.openxmlformats.org/drawingml/2006/main">
                    <a:graphicData uri="http://schemas.openxmlformats.org/drawingml/2006/picture">
                      <pic:pic xmlns:pic="http://schemas.openxmlformats.org/drawingml/2006/picture">
                        <pic:nvPicPr>
                          <pic:cNvPr id="118" name="图片_79"/>
                          <pic:cNvPicPr/>
                        </pic:nvPicPr>
                        <pic:blipFill>
                          <a:blip r:embed="rId39"/>
                          <a:stretch>
                            <a:fillRect/>
                          </a:stretch>
                        </pic:blipFill>
                        <pic:spPr>
                          <a:xfrm>
                            <a:off x="0" y="0"/>
                            <a:ext cx="1352550" cy="2330450"/>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台面：采用SUS304不锈钢板厚度1.2mm；层板/侧板：SUS304不锈钢板厚度1.2mm；柜门/衬筋：SUS304不锈钢板厚度1.0mm；门胆/背板：SUS304不锈钢板厚度0.8mm，双层门；底边：暗沟式定位滑槽；上滑道、静音吊轮；台脚：可调不锈钢重力脚。</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322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F05</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高身四门碗柜</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1200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500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3</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95104" behindDoc="0" locked="0" layoutInCell="1" allowOverlap="1">
                  <wp:simplePos x="0" y="0"/>
                  <wp:positionH relativeFrom="column">
                    <wp:posOffset>-27940</wp:posOffset>
                  </wp:positionH>
                  <wp:positionV relativeFrom="paragraph">
                    <wp:posOffset>50165</wp:posOffset>
                  </wp:positionV>
                  <wp:extent cx="1363980" cy="1960245"/>
                  <wp:effectExtent l="0" t="0" r="7620" b="1905"/>
                  <wp:wrapNone/>
                  <wp:docPr id="119" name="图片_81"/>
                  <wp:cNvGraphicFramePr/>
                  <a:graphic xmlns:a="http://schemas.openxmlformats.org/drawingml/2006/main">
                    <a:graphicData uri="http://schemas.openxmlformats.org/drawingml/2006/picture">
                      <pic:pic xmlns:pic="http://schemas.openxmlformats.org/drawingml/2006/picture">
                        <pic:nvPicPr>
                          <pic:cNvPr id="119" name="图片_81"/>
                          <pic:cNvPicPr/>
                        </pic:nvPicPr>
                        <pic:blipFill>
                          <a:blip r:embed="rId40"/>
                          <a:stretch>
                            <a:fillRect/>
                          </a:stretch>
                        </pic:blipFill>
                        <pic:spPr>
                          <a:xfrm>
                            <a:off x="0" y="0"/>
                            <a:ext cx="1363980" cy="1960245"/>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层板/侧板：采用SUS304不锈钢板厚度1.2mm；柜门/衬筋：SUS304不锈钢板厚度1.0mm；门胆/背板：SUS304不锈钢板厚度0.8mm，双层门；                                                                               底边：暗沟式定位滑槽；上滑道、静音吊轮；台脚：可调不锈钢重力脚。</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408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F06</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电饼铛</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LB-550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2</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96128" behindDoc="0" locked="0" layoutInCell="1" allowOverlap="1">
                  <wp:simplePos x="0" y="0"/>
                  <wp:positionH relativeFrom="column">
                    <wp:posOffset>-9525</wp:posOffset>
                  </wp:positionH>
                  <wp:positionV relativeFrom="paragraph">
                    <wp:posOffset>38100</wp:posOffset>
                  </wp:positionV>
                  <wp:extent cx="1343660" cy="2510790"/>
                  <wp:effectExtent l="0" t="0" r="8890" b="3810"/>
                  <wp:wrapNone/>
                  <wp:docPr id="120" name="图片_83"/>
                  <wp:cNvGraphicFramePr/>
                  <a:graphic xmlns:a="http://schemas.openxmlformats.org/drawingml/2006/main">
                    <a:graphicData uri="http://schemas.openxmlformats.org/drawingml/2006/picture">
                      <pic:pic xmlns:pic="http://schemas.openxmlformats.org/drawingml/2006/picture">
                        <pic:nvPicPr>
                          <pic:cNvPr id="120" name="图片_83"/>
                          <pic:cNvPicPr/>
                        </pic:nvPicPr>
                        <pic:blipFill>
                          <a:blip r:embed="rId41"/>
                          <a:stretch>
                            <a:fillRect/>
                          </a:stretch>
                        </pic:blipFill>
                        <pic:spPr>
                          <a:xfrm>
                            <a:off x="0" y="0"/>
                            <a:ext cx="1343660" cy="2510790"/>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恒联，东贝</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p>
        </w:tc>
      </w:tr>
      <w:tr>
        <w:tblPrEx>
          <w:tblCellMar>
            <w:top w:w="0" w:type="dxa"/>
            <w:left w:w="108" w:type="dxa"/>
            <w:bottom w:w="0" w:type="dxa"/>
            <w:right w:w="108" w:type="dxa"/>
          </w:tblCellMar>
        </w:tblPrEx>
        <w:trPr>
          <w:trHeight w:val="315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F07</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油网烟罩</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2600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500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97152" behindDoc="0" locked="0" layoutInCell="1" allowOverlap="1">
                  <wp:simplePos x="0" y="0"/>
                  <wp:positionH relativeFrom="column">
                    <wp:posOffset>-9525</wp:posOffset>
                  </wp:positionH>
                  <wp:positionV relativeFrom="paragraph">
                    <wp:posOffset>49530</wp:posOffset>
                  </wp:positionV>
                  <wp:extent cx="1343025" cy="1904365"/>
                  <wp:effectExtent l="0" t="0" r="9525" b="635"/>
                  <wp:wrapNone/>
                  <wp:docPr id="121" name="图片_84"/>
                  <wp:cNvGraphicFramePr/>
                  <a:graphic xmlns:a="http://schemas.openxmlformats.org/drawingml/2006/main">
                    <a:graphicData uri="http://schemas.openxmlformats.org/drawingml/2006/picture">
                      <pic:pic xmlns:pic="http://schemas.openxmlformats.org/drawingml/2006/picture">
                        <pic:nvPicPr>
                          <pic:cNvPr id="121" name="图片_84"/>
                          <pic:cNvPicPr/>
                        </pic:nvPicPr>
                        <pic:blipFill>
                          <a:blip r:embed="rId33"/>
                          <a:stretch>
                            <a:fillRect/>
                          </a:stretch>
                        </pic:blipFill>
                        <pic:spPr>
                          <a:xfrm>
                            <a:off x="0" y="0"/>
                            <a:ext cx="1343025" cy="1904365"/>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罩体板：采用SUS304不锈钢板厚度1.2mm；两侧板：采用SUS304不锈钢板厚度1.0mm</w:t>
            </w:r>
            <w:r>
              <w:rPr>
                <w:rFonts w:hint="eastAsia" w:ascii="微软雅黑" w:hAnsi="微软雅黑" w:eastAsia="微软雅黑" w:cs="微软雅黑"/>
                <w:kern w:val="0"/>
                <w:sz w:val="20"/>
                <w:szCs w:val="20"/>
              </w:rPr>
              <w:br w:type="textWrapping"/>
            </w:r>
            <w:r>
              <w:rPr>
                <w:rFonts w:hint="eastAsia" w:ascii="微软雅黑" w:hAnsi="微软雅黑" w:eastAsia="微软雅黑" w:cs="微软雅黑"/>
                <w:kern w:val="0"/>
                <w:sz w:val="20"/>
                <w:szCs w:val="20"/>
              </w:rPr>
              <w:t>滤油板：采用SUS304不锈钢板厚度1.0mm；</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267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F08</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工作台连下一层板</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1200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98176" behindDoc="0" locked="0" layoutInCell="1" allowOverlap="1">
                  <wp:simplePos x="0" y="0"/>
                  <wp:positionH relativeFrom="column">
                    <wp:posOffset>-38735</wp:posOffset>
                  </wp:positionH>
                  <wp:positionV relativeFrom="paragraph">
                    <wp:posOffset>47625</wp:posOffset>
                  </wp:positionV>
                  <wp:extent cx="1372235" cy="1875155"/>
                  <wp:effectExtent l="0" t="0" r="18415" b="10795"/>
                  <wp:wrapNone/>
                  <wp:docPr id="122" name="图片_85"/>
                  <wp:cNvGraphicFramePr/>
                  <a:graphic xmlns:a="http://schemas.openxmlformats.org/drawingml/2006/main">
                    <a:graphicData uri="http://schemas.openxmlformats.org/drawingml/2006/picture">
                      <pic:pic xmlns:pic="http://schemas.openxmlformats.org/drawingml/2006/picture">
                        <pic:nvPicPr>
                          <pic:cNvPr id="122" name="图片_85"/>
                          <pic:cNvPicPr/>
                        </pic:nvPicPr>
                        <pic:blipFill>
                          <a:blip r:embed="rId11"/>
                          <a:stretch>
                            <a:fillRect/>
                          </a:stretch>
                        </pic:blipFill>
                        <pic:spPr>
                          <a:xfrm>
                            <a:off x="0" y="0"/>
                            <a:ext cx="1372235" cy="1875155"/>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台面：采用SUS304不锈钢板厚度1.2mm；下衬15mm细木工板；层板：不锈钢板厚度1.0mm，下层板条格式；衬筋：不锈钢板厚度1.0mm；脚通：不锈钢方管38*38*1.0mm；台脚：可调不锈钢子弹脚。</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465" w:hRule="atLeast"/>
        </w:trPr>
        <w:tc>
          <w:tcPr>
            <w:tcW w:w="1463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r>
              <w:rPr>
                <w:rFonts w:hint="eastAsia" w:ascii="宋体" w:hAnsi="宋体" w:cs="宋体"/>
                <w:b/>
                <w:bCs/>
                <w:kern w:val="0"/>
                <w:sz w:val="24"/>
              </w:rPr>
              <w:t>洗消间</w:t>
            </w:r>
          </w:p>
        </w:tc>
      </w:tr>
      <w:tr>
        <w:tblPrEx>
          <w:tblCellMar>
            <w:top w:w="0" w:type="dxa"/>
            <w:left w:w="108" w:type="dxa"/>
            <w:bottom w:w="0" w:type="dxa"/>
            <w:right w:w="108" w:type="dxa"/>
          </w:tblCellMar>
        </w:tblPrEx>
        <w:trPr>
          <w:trHeight w:val="271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G01</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工作台连下一层板</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1200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699200" behindDoc="0" locked="0" layoutInCell="1" allowOverlap="1">
                  <wp:simplePos x="0" y="0"/>
                  <wp:positionH relativeFrom="column">
                    <wp:posOffset>-29210</wp:posOffset>
                  </wp:positionH>
                  <wp:positionV relativeFrom="paragraph">
                    <wp:posOffset>48895</wp:posOffset>
                  </wp:positionV>
                  <wp:extent cx="1382395" cy="1873250"/>
                  <wp:effectExtent l="0" t="0" r="8255" b="12700"/>
                  <wp:wrapNone/>
                  <wp:docPr id="123" name="图片_86"/>
                  <wp:cNvGraphicFramePr/>
                  <a:graphic xmlns:a="http://schemas.openxmlformats.org/drawingml/2006/main">
                    <a:graphicData uri="http://schemas.openxmlformats.org/drawingml/2006/picture">
                      <pic:pic xmlns:pic="http://schemas.openxmlformats.org/drawingml/2006/picture">
                        <pic:nvPicPr>
                          <pic:cNvPr id="123" name="图片_86"/>
                          <pic:cNvPicPr/>
                        </pic:nvPicPr>
                        <pic:blipFill>
                          <a:blip r:embed="rId11"/>
                          <a:stretch>
                            <a:fillRect/>
                          </a:stretch>
                        </pic:blipFill>
                        <pic:spPr>
                          <a:xfrm>
                            <a:off x="0" y="0"/>
                            <a:ext cx="1382395" cy="1873250"/>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台面：采用SUS304不锈钢板厚度1.2mm；下衬15mm细木工板；层板：不锈钢板厚度1.0mm，下层板条格式；衬筋：不锈钢板厚度1.0mm；脚通：不锈钢方管38*38*1.0mm；台脚：可调不锈钢子弹脚。</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345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配</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回收碗碟架</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1200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500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700224" behindDoc="0" locked="0" layoutInCell="1" allowOverlap="1">
                  <wp:simplePos x="0" y="0"/>
                  <wp:positionH relativeFrom="column">
                    <wp:posOffset>-18415</wp:posOffset>
                  </wp:positionH>
                  <wp:positionV relativeFrom="paragraph">
                    <wp:posOffset>62865</wp:posOffset>
                  </wp:positionV>
                  <wp:extent cx="1332865" cy="2107565"/>
                  <wp:effectExtent l="0" t="0" r="635" b="6985"/>
                  <wp:wrapNone/>
                  <wp:docPr id="124" name="图片_88"/>
                  <wp:cNvGraphicFramePr/>
                  <a:graphic xmlns:a="http://schemas.openxmlformats.org/drawingml/2006/main">
                    <a:graphicData uri="http://schemas.openxmlformats.org/drawingml/2006/picture">
                      <pic:pic xmlns:pic="http://schemas.openxmlformats.org/drawingml/2006/picture">
                        <pic:nvPicPr>
                          <pic:cNvPr id="124" name="图片_88"/>
                          <pic:cNvPicPr/>
                        </pic:nvPicPr>
                        <pic:blipFill>
                          <a:blip r:embed="rId42"/>
                          <a:stretch>
                            <a:fillRect/>
                          </a:stretch>
                        </pic:blipFill>
                        <pic:spPr>
                          <a:xfrm>
                            <a:off x="0" y="0"/>
                            <a:ext cx="1332865" cy="2107565"/>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材料采用SUS304不锈钢板厚度1.2mm。</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366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G02</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单孔残菜台</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1300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701248" behindDoc="0" locked="0" layoutInCell="1" allowOverlap="1">
                  <wp:simplePos x="0" y="0"/>
                  <wp:positionH relativeFrom="column">
                    <wp:posOffset>-19685</wp:posOffset>
                  </wp:positionH>
                  <wp:positionV relativeFrom="paragraph">
                    <wp:posOffset>35560</wp:posOffset>
                  </wp:positionV>
                  <wp:extent cx="1353185" cy="2247265"/>
                  <wp:effectExtent l="0" t="0" r="18415" b="635"/>
                  <wp:wrapNone/>
                  <wp:docPr id="75" name="图片_90"/>
                  <wp:cNvGraphicFramePr/>
                  <a:graphic xmlns:a="http://schemas.openxmlformats.org/drawingml/2006/main">
                    <a:graphicData uri="http://schemas.openxmlformats.org/drawingml/2006/picture">
                      <pic:pic xmlns:pic="http://schemas.openxmlformats.org/drawingml/2006/picture">
                        <pic:nvPicPr>
                          <pic:cNvPr id="75" name="图片_90"/>
                          <pic:cNvPicPr/>
                        </pic:nvPicPr>
                        <pic:blipFill>
                          <a:blip r:embed="rId43"/>
                          <a:stretch>
                            <a:fillRect/>
                          </a:stretch>
                        </pic:blipFill>
                        <pic:spPr>
                          <a:xfrm>
                            <a:off x="0" y="0"/>
                            <a:ext cx="1353185" cy="2247265"/>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台面：采用SUS304不锈钢板厚度1.2mm；衬筋：SUS304不锈钢板厚度1.0mm；脚通：SUS304不锈钢方管38*38*1.0mm；横管：SUS304不锈钢方管38*25*1.0mm；台脚：可调不锈钢子弹脚。</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346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G03</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单星盆无下层板</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3</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702272" behindDoc="0" locked="0" layoutInCell="1" allowOverlap="1">
                  <wp:simplePos x="0" y="0"/>
                  <wp:positionH relativeFrom="column">
                    <wp:posOffset>-8890</wp:posOffset>
                  </wp:positionH>
                  <wp:positionV relativeFrom="paragraph">
                    <wp:posOffset>50165</wp:posOffset>
                  </wp:positionV>
                  <wp:extent cx="1341755" cy="2300605"/>
                  <wp:effectExtent l="0" t="0" r="10795" b="4445"/>
                  <wp:wrapNone/>
                  <wp:docPr id="76" name="图片_91"/>
                  <wp:cNvGraphicFramePr/>
                  <a:graphic xmlns:a="http://schemas.openxmlformats.org/drawingml/2006/main">
                    <a:graphicData uri="http://schemas.openxmlformats.org/drawingml/2006/picture">
                      <pic:pic xmlns:pic="http://schemas.openxmlformats.org/drawingml/2006/picture">
                        <pic:nvPicPr>
                          <pic:cNvPr id="76" name="图片_91"/>
                          <pic:cNvPicPr/>
                        </pic:nvPicPr>
                        <pic:blipFill>
                          <a:blip r:embed="rId44"/>
                          <a:stretch>
                            <a:fillRect/>
                          </a:stretch>
                        </pic:blipFill>
                        <pic:spPr>
                          <a:xfrm>
                            <a:off x="0" y="0"/>
                            <a:ext cx="1341755" cy="2300605"/>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台面：采用SUS304不锈钢板厚度1.2mm；衬筋：SUS304不锈钢板厚度1.0mm；星盆：SUS304不锈钢板厚度1.2mm，配不锈钢落水；脚通：SUS304不锈钢方管38*38*1.0mm；横管：SUS304不锈钢方管38*25*1.0mm；台脚：可调不锈钢子弹脚。</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306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配</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冷热水龙头</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3</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套</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703296" behindDoc="0" locked="0" layoutInCell="1" allowOverlap="1">
                  <wp:simplePos x="0" y="0"/>
                  <wp:positionH relativeFrom="column">
                    <wp:posOffset>-29845</wp:posOffset>
                  </wp:positionH>
                  <wp:positionV relativeFrom="paragraph">
                    <wp:posOffset>60325</wp:posOffset>
                  </wp:positionV>
                  <wp:extent cx="1361440" cy="1844675"/>
                  <wp:effectExtent l="0" t="0" r="10160" b="3175"/>
                  <wp:wrapNone/>
                  <wp:docPr id="77" name="图片_92"/>
                  <wp:cNvGraphicFramePr/>
                  <a:graphic xmlns:a="http://schemas.openxmlformats.org/drawingml/2006/main">
                    <a:graphicData uri="http://schemas.openxmlformats.org/drawingml/2006/picture">
                      <pic:pic xmlns:pic="http://schemas.openxmlformats.org/drawingml/2006/picture">
                        <pic:nvPicPr>
                          <pic:cNvPr id="77" name="图片_92"/>
                          <pic:cNvPicPr/>
                        </pic:nvPicPr>
                        <pic:blipFill>
                          <a:blip r:embed="rId24"/>
                          <a:stretch>
                            <a:fillRect/>
                          </a:stretch>
                        </pic:blipFill>
                        <pic:spPr>
                          <a:xfrm>
                            <a:off x="0" y="0"/>
                            <a:ext cx="1361440" cy="1844675"/>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 红太阳，EQUIP，华舟</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p>
        </w:tc>
      </w:tr>
      <w:tr>
        <w:tblPrEx>
          <w:tblCellMar>
            <w:top w:w="0" w:type="dxa"/>
            <w:left w:w="108" w:type="dxa"/>
            <w:bottom w:w="0" w:type="dxa"/>
            <w:right w:w="108" w:type="dxa"/>
          </w:tblCellMar>
        </w:tblPrEx>
        <w:trPr>
          <w:trHeight w:val="258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G04</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工作台连下一层板</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1200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704320" behindDoc="0" locked="0" layoutInCell="1" allowOverlap="1">
                  <wp:simplePos x="0" y="0"/>
                  <wp:positionH relativeFrom="column">
                    <wp:posOffset>-635</wp:posOffset>
                  </wp:positionH>
                  <wp:positionV relativeFrom="paragraph">
                    <wp:posOffset>48260</wp:posOffset>
                  </wp:positionV>
                  <wp:extent cx="1353820" cy="1563370"/>
                  <wp:effectExtent l="0" t="0" r="17780" b="17780"/>
                  <wp:wrapNone/>
                  <wp:docPr id="78" name="图片_93"/>
                  <wp:cNvGraphicFramePr/>
                  <a:graphic xmlns:a="http://schemas.openxmlformats.org/drawingml/2006/main">
                    <a:graphicData uri="http://schemas.openxmlformats.org/drawingml/2006/picture">
                      <pic:pic xmlns:pic="http://schemas.openxmlformats.org/drawingml/2006/picture">
                        <pic:nvPicPr>
                          <pic:cNvPr id="78" name="图片_93"/>
                          <pic:cNvPicPr/>
                        </pic:nvPicPr>
                        <pic:blipFill>
                          <a:blip r:embed="rId17"/>
                          <a:stretch>
                            <a:fillRect/>
                          </a:stretch>
                        </pic:blipFill>
                        <pic:spPr>
                          <a:xfrm>
                            <a:off x="0" y="0"/>
                            <a:ext cx="1353820" cy="1563370"/>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台面：采用SUS304不锈钢板厚度1.2mm；下衬15mm细木工板；层板：不锈钢板厚度1.0mm，下层板条格式；衬筋：不锈钢板厚度1.0mm；脚通：不锈钢方管38*38*1.0mm；台脚：可调不锈钢子弹脚。</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348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G06</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不锈钢双门消毒柜</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RTP700G-1</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1192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553</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1660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2</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705344" behindDoc="0" locked="0" layoutInCell="1" allowOverlap="1">
                  <wp:simplePos x="0" y="0"/>
                  <wp:positionH relativeFrom="column">
                    <wp:posOffset>-56515</wp:posOffset>
                  </wp:positionH>
                  <wp:positionV relativeFrom="paragraph">
                    <wp:posOffset>46355</wp:posOffset>
                  </wp:positionV>
                  <wp:extent cx="1363980" cy="3114675"/>
                  <wp:effectExtent l="0" t="0" r="7620" b="9525"/>
                  <wp:wrapNone/>
                  <wp:docPr id="79" name="图片_97"/>
                  <wp:cNvGraphicFramePr/>
                  <a:graphic xmlns:a="http://schemas.openxmlformats.org/drawingml/2006/main">
                    <a:graphicData uri="http://schemas.openxmlformats.org/drawingml/2006/picture">
                      <pic:pic xmlns:pic="http://schemas.openxmlformats.org/drawingml/2006/picture">
                        <pic:nvPicPr>
                          <pic:cNvPr id="79" name="图片_97"/>
                          <pic:cNvPicPr/>
                        </pic:nvPicPr>
                        <pic:blipFill>
                          <a:blip r:embed="rId45"/>
                          <a:stretch>
                            <a:fillRect/>
                          </a:stretch>
                        </pic:blipFill>
                        <pic:spPr>
                          <a:xfrm>
                            <a:off x="0" y="0"/>
                            <a:ext cx="1363980" cy="3114675"/>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康宝，Americhef </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柜身：采用SUS304不锈钢板厚度1.2mm；不准采用整体发泡，必须采用隔热材料；柜门：SUS304不锈钢板厚度1.0mm，整体聚氨酯发泡；内胆：不锈钢板厚度0.8mm；胶条：嵌入式硅胶条；；控温范围：50-150度；消毒湿度：130度采用自动控温、操作方便；热风循环、热量均匀、无死角、高温消毒杀菌；符合卫生防疫要求；提供电热产品生产许可证；</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327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G07</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高身四门碗柜</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1200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500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706368" behindDoc="0" locked="0" layoutInCell="1" allowOverlap="1">
                  <wp:simplePos x="0" y="0"/>
                  <wp:positionH relativeFrom="column">
                    <wp:posOffset>-29210</wp:posOffset>
                  </wp:positionH>
                  <wp:positionV relativeFrom="paragraph">
                    <wp:posOffset>26670</wp:posOffset>
                  </wp:positionV>
                  <wp:extent cx="1334135" cy="2009775"/>
                  <wp:effectExtent l="0" t="0" r="18415" b="9525"/>
                  <wp:wrapNone/>
                  <wp:docPr id="80" name="图片_98"/>
                  <wp:cNvGraphicFramePr/>
                  <a:graphic xmlns:a="http://schemas.openxmlformats.org/drawingml/2006/main">
                    <a:graphicData uri="http://schemas.openxmlformats.org/drawingml/2006/picture">
                      <pic:pic xmlns:pic="http://schemas.openxmlformats.org/drawingml/2006/picture">
                        <pic:nvPicPr>
                          <pic:cNvPr id="80" name="图片_98"/>
                          <pic:cNvPicPr/>
                        </pic:nvPicPr>
                        <pic:blipFill>
                          <a:blip r:embed="rId46"/>
                          <a:stretch>
                            <a:fillRect/>
                          </a:stretch>
                        </pic:blipFill>
                        <pic:spPr>
                          <a:xfrm>
                            <a:off x="0" y="0"/>
                            <a:ext cx="1334135" cy="2009775"/>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层板/侧板：采用SUS304不锈钢板厚度1.2mm；柜门/衬筋：SUS304不锈钢板厚度1.0mm；门胆/背板：SUS304不锈钢板厚度0.8mm，双层门；                                                                               底边：暗沟式定位滑槽；上滑道、静音吊轮；台脚：可调不锈钢重力脚。</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465" w:hRule="atLeast"/>
        </w:trPr>
        <w:tc>
          <w:tcPr>
            <w:tcW w:w="1463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r>
              <w:rPr>
                <w:rFonts w:hint="eastAsia" w:ascii="宋体" w:hAnsi="宋体" w:cs="宋体"/>
                <w:b/>
                <w:bCs/>
                <w:kern w:val="0"/>
                <w:sz w:val="24"/>
              </w:rPr>
              <w:t>二层厨房</w:t>
            </w:r>
          </w:p>
        </w:tc>
      </w:tr>
      <w:tr>
        <w:tblPrEx>
          <w:tblCellMar>
            <w:top w:w="0" w:type="dxa"/>
            <w:left w:w="108" w:type="dxa"/>
            <w:bottom w:w="0" w:type="dxa"/>
            <w:right w:w="108" w:type="dxa"/>
          </w:tblCellMar>
        </w:tblPrEx>
        <w:trPr>
          <w:trHeight w:val="465" w:hRule="atLeast"/>
        </w:trPr>
        <w:tc>
          <w:tcPr>
            <w:tcW w:w="1463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r>
              <w:rPr>
                <w:rFonts w:hint="eastAsia" w:ascii="宋体" w:hAnsi="宋体" w:cs="宋体"/>
                <w:b/>
                <w:bCs/>
                <w:kern w:val="0"/>
                <w:sz w:val="24"/>
              </w:rPr>
              <w:t>备餐间</w:t>
            </w:r>
          </w:p>
        </w:tc>
      </w:tr>
      <w:tr>
        <w:tblPrEx>
          <w:tblCellMar>
            <w:top w:w="0" w:type="dxa"/>
            <w:left w:w="108" w:type="dxa"/>
            <w:bottom w:w="0" w:type="dxa"/>
            <w:right w:w="108" w:type="dxa"/>
          </w:tblCellMar>
        </w:tblPrEx>
        <w:trPr>
          <w:trHeight w:val="316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J01</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单星洗手池</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500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500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2</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707392" behindDoc="0" locked="0" layoutInCell="1" allowOverlap="1">
                  <wp:simplePos x="0" y="0"/>
                  <wp:positionH relativeFrom="column">
                    <wp:posOffset>86360</wp:posOffset>
                  </wp:positionH>
                  <wp:positionV relativeFrom="paragraph">
                    <wp:posOffset>55245</wp:posOffset>
                  </wp:positionV>
                  <wp:extent cx="1256665" cy="1896110"/>
                  <wp:effectExtent l="0" t="0" r="635" b="8890"/>
                  <wp:wrapNone/>
                  <wp:docPr id="81" name="图片_99"/>
                  <wp:cNvGraphicFramePr/>
                  <a:graphic xmlns:a="http://schemas.openxmlformats.org/drawingml/2006/main">
                    <a:graphicData uri="http://schemas.openxmlformats.org/drawingml/2006/picture">
                      <pic:pic xmlns:pic="http://schemas.openxmlformats.org/drawingml/2006/picture">
                        <pic:nvPicPr>
                          <pic:cNvPr id="81" name="图片_99"/>
                          <pic:cNvPicPr/>
                        </pic:nvPicPr>
                        <pic:blipFill>
                          <a:blip r:embed="rId47"/>
                          <a:stretch>
                            <a:fillRect/>
                          </a:stretch>
                        </pic:blipFill>
                        <pic:spPr>
                          <a:xfrm>
                            <a:off x="0" y="0"/>
                            <a:ext cx="1256665" cy="1896110"/>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台面: 采用SUS304不锈钢板厚度1.2mm；</w:t>
            </w:r>
            <w:r>
              <w:rPr>
                <w:rFonts w:hint="eastAsia" w:ascii="微软雅黑" w:hAnsi="微软雅黑" w:eastAsia="微软雅黑" w:cs="微软雅黑"/>
                <w:kern w:val="0"/>
                <w:sz w:val="20"/>
                <w:szCs w:val="20"/>
              </w:rPr>
              <w:br w:type="textWrapping"/>
            </w:r>
            <w:r>
              <w:rPr>
                <w:rFonts w:hint="eastAsia" w:ascii="微软雅黑" w:hAnsi="微软雅黑" w:eastAsia="微软雅黑" w:cs="微软雅黑"/>
                <w:kern w:val="0"/>
                <w:sz w:val="20"/>
                <w:szCs w:val="20"/>
              </w:rPr>
              <w:t>星盆: SUS304不锈钢板厚度1.0mm;</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333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配</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脚踏冷热水龙头</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2</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套</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708416" behindDoc="0" locked="0" layoutInCell="1" allowOverlap="1">
                  <wp:simplePos x="0" y="0"/>
                  <wp:positionH relativeFrom="column">
                    <wp:posOffset>-29210</wp:posOffset>
                  </wp:positionH>
                  <wp:positionV relativeFrom="paragraph">
                    <wp:posOffset>8890</wp:posOffset>
                  </wp:positionV>
                  <wp:extent cx="1372870" cy="2056765"/>
                  <wp:effectExtent l="0" t="0" r="17780" b="635"/>
                  <wp:wrapNone/>
                  <wp:docPr id="82" name="图片_100"/>
                  <wp:cNvGraphicFramePr/>
                  <a:graphic xmlns:a="http://schemas.openxmlformats.org/drawingml/2006/main">
                    <a:graphicData uri="http://schemas.openxmlformats.org/drawingml/2006/picture">
                      <pic:pic xmlns:pic="http://schemas.openxmlformats.org/drawingml/2006/picture">
                        <pic:nvPicPr>
                          <pic:cNvPr id="82" name="图片_100"/>
                          <pic:cNvPicPr/>
                        </pic:nvPicPr>
                        <pic:blipFill>
                          <a:blip r:embed="rId48"/>
                          <a:stretch>
                            <a:fillRect/>
                          </a:stretch>
                        </pic:blipFill>
                        <pic:spPr>
                          <a:xfrm>
                            <a:off x="0" y="0"/>
                            <a:ext cx="1372870" cy="2056765"/>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 红太阳，EQUIP，华舟</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p>
        </w:tc>
      </w:tr>
      <w:tr>
        <w:tblPrEx>
          <w:tblCellMar>
            <w:top w:w="0" w:type="dxa"/>
            <w:left w:w="108" w:type="dxa"/>
            <w:bottom w:w="0" w:type="dxa"/>
            <w:right w:w="108" w:type="dxa"/>
          </w:tblCellMar>
        </w:tblPrEx>
        <w:trPr>
          <w:trHeight w:val="276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J03</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单通移门工作台柜</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1800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2</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709440" behindDoc="0" locked="0" layoutInCell="1" allowOverlap="1">
                  <wp:simplePos x="0" y="0"/>
                  <wp:positionH relativeFrom="column">
                    <wp:posOffset>-37465</wp:posOffset>
                  </wp:positionH>
                  <wp:positionV relativeFrom="paragraph">
                    <wp:posOffset>38735</wp:posOffset>
                  </wp:positionV>
                  <wp:extent cx="1341755" cy="2311400"/>
                  <wp:effectExtent l="0" t="0" r="10795" b="12700"/>
                  <wp:wrapNone/>
                  <wp:docPr id="83" name="图片_103"/>
                  <wp:cNvGraphicFramePr/>
                  <a:graphic xmlns:a="http://schemas.openxmlformats.org/drawingml/2006/main">
                    <a:graphicData uri="http://schemas.openxmlformats.org/drawingml/2006/picture">
                      <pic:pic xmlns:pic="http://schemas.openxmlformats.org/drawingml/2006/picture">
                        <pic:nvPicPr>
                          <pic:cNvPr id="83" name="图片_103"/>
                          <pic:cNvPicPr/>
                        </pic:nvPicPr>
                        <pic:blipFill>
                          <a:blip r:embed="rId49"/>
                          <a:stretch>
                            <a:fillRect/>
                          </a:stretch>
                        </pic:blipFill>
                        <pic:spPr>
                          <a:xfrm>
                            <a:off x="0" y="0"/>
                            <a:ext cx="1341755" cy="2311400"/>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台面：采用SUS304不锈钢板厚度1.2mm；层板/侧板：SUS304不锈钢板厚度1.2mm；柜门/衬筋：SUS304不锈钢板厚度1.0mm；门胆/背板：SUS304不锈钢板厚度0.8mm，双层门；底边：暗沟式定位滑槽；上滑道、静音吊轮；台脚：可调不锈钢重力脚。</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276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J04</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单通移门工作台柜</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1500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710464" behindDoc="0" locked="0" layoutInCell="1" allowOverlap="1">
                  <wp:simplePos x="0" y="0"/>
                  <wp:positionH relativeFrom="column">
                    <wp:posOffset>-28575</wp:posOffset>
                  </wp:positionH>
                  <wp:positionV relativeFrom="paragraph">
                    <wp:posOffset>59055</wp:posOffset>
                  </wp:positionV>
                  <wp:extent cx="1352550" cy="2301875"/>
                  <wp:effectExtent l="0" t="0" r="0" b="3175"/>
                  <wp:wrapNone/>
                  <wp:docPr id="74" name="图片_104"/>
                  <wp:cNvGraphicFramePr/>
                  <a:graphic xmlns:a="http://schemas.openxmlformats.org/drawingml/2006/main">
                    <a:graphicData uri="http://schemas.openxmlformats.org/drawingml/2006/picture">
                      <pic:pic xmlns:pic="http://schemas.openxmlformats.org/drawingml/2006/picture">
                        <pic:nvPicPr>
                          <pic:cNvPr id="74" name="图片_104"/>
                          <pic:cNvPicPr/>
                        </pic:nvPicPr>
                        <pic:blipFill>
                          <a:blip r:embed="rId50"/>
                          <a:stretch>
                            <a:fillRect/>
                          </a:stretch>
                        </pic:blipFill>
                        <pic:spPr>
                          <a:xfrm>
                            <a:off x="0" y="0"/>
                            <a:ext cx="1352550" cy="2301875"/>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台面：采用SUS304不锈钢板厚度1.2mm；层板/侧板：SUS304不锈钢板厚度1.2mm；柜门/衬筋：SUS304不锈钢板厚度1.0mm；门胆/背板：SUS304不锈钢板厚度0.8mm，双层门；底边：暗沟式定位滑槽；上滑道、静音吊轮；台脚：可调不锈钢重力脚。</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261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J05</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工作台连下一层板</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1800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2</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711488" behindDoc="0" locked="0" layoutInCell="1" allowOverlap="1">
                  <wp:simplePos x="0" y="0"/>
                  <wp:positionH relativeFrom="column">
                    <wp:posOffset>-28575</wp:posOffset>
                  </wp:positionH>
                  <wp:positionV relativeFrom="paragraph">
                    <wp:posOffset>29845</wp:posOffset>
                  </wp:positionV>
                  <wp:extent cx="1363345" cy="1875155"/>
                  <wp:effectExtent l="0" t="0" r="8255" b="10795"/>
                  <wp:wrapNone/>
                  <wp:docPr id="73" name="图片_105"/>
                  <wp:cNvGraphicFramePr/>
                  <a:graphic xmlns:a="http://schemas.openxmlformats.org/drawingml/2006/main">
                    <a:graphicData uri="http://schemas.openxmlformats.org/drawingml/2006/picture">
                      <pic:pic xmlns:pic="http://schemas.openxmlformats.org/drawingml/2006/picture">
                        <pic:nvPicPr>
                          <pic:cNvPr id="73" name="图片_105"/>
                          <pic:cNvPicPr/>
                        </pic:nvPicPr>
                        <pic:blipFill>
                          <a:blip r:embed="rId11"/>
                          <a:stretch>
                            <a:fillRect/>
                          </a:stretch>
                        </pic:blipFill>
                        <pic:spPr>
                          <a:xfrm>
                            <a:off x="0" y="0"/>
                            <a:ext cx="1363345" cy="1875155"/>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台面：采用SUS304不锈钢板厚度1.2mm；下衬15mm细木工板；层板：不锈钢板厚度1.0mm，下层板条格式；衬筋：不锈钢板厚度1.0mm；脚通：不锈钢方管38*38*1.0mm；台脚：可调不锈钢子弹脚。</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372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J06</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五格保温配餐台</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1800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4</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712512" behindDoc="0" locked="0" layoutInCell="1" allowOverlap="1">
                  <wp:simplePos x="0" y="0"/>
                  <wp:positionH relativeFrom="column">
                    <wp:posOffset>-37465</wp:posOffset>
                  </wp:positionH>
                  <wp:positionV relativeFrom="paragraph">
                    <wp:posOffset>36830</wp:posOffset>
                  </wp:positionV>
                  <wp:extent cx="1389380" cy="2985770"/>
                  <wp:effectExtent l="0" t="0" r="1270" b="5080"/>
                  <wp:wrapNone/>
                  <wp:docPr id="72" name="图片_107"/>
                  <wp:cNvGraphicFramePr/>
                  <a:graphic xmlns:a="http://schemas.openxmlformats.org/drawingml/2006/main">
                    <a:graphicData uri="http://schemas.openxmlformats.org/drawingml/2006/picture">
                      <pic:pic xmlns:pic="http://schemas.openxmlformats.org/drawingml/2006/picture">
                        <pic:nvPicPr>
                          <pic:cNvPr id="72" name="图片_107"/>
                          <pic:cNvPicPr/>
                        </pic:nvPicPr>
                        <pic:blipFill>
                          <a:blip r:embed="rId51"/>
                          <a:stretch>
                            <a:fillRect/>
                          </a:stretch>
                        </pic:blipFill>
                        <pic:spPr>
                          <a:xfrm>
                            <a:off x="0" y="0"/>
                            <a:ext cx="1389380" cy="2985770"/>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台面：采用SUS304不锈钢板厚度1.2mm；侧板：SUS304不锈钢板厚度1.0mm；衬筋：SUS304不锈钢板厚度1.0mm；电压/功率：220V 3KW; 电加热：恒温控制；脚通：SUS304不锈钢方管38*38*1.0mm；横管：SUS304不锈钢方管38*25*1.0mm；台脚：可调不锈钢子弹脚。配5个带盖份数盒530*325*150</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327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J07</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高身四门碗柜</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1200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500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3</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713536" behindDoc="0" locked="0" layoutInCell="1" allowOverlap="1">
                  <wp:simplePos x="0" y="0"/>
                  <wp:positionH relativeFrom="column">
                    <wp:posOffset>0</wp:posOffset>
                  </wp:positionH>
                  <wp:positionV relativeFrom="paragraph">
                    <wp:posOffset>21590</wp:posOffset>
                  </wp:positionV>
                  <wp:extent cx="1305560" cy="2009775"/>
                  <wp:effectExtent l="0" t="0" r="8890" b="9525"/>
                  <wp:wrapNone/>
                  <wp:docPr id="71" name="图片_109"/>
                  <wp:cNvGraphicFramePr/>
                  <a:graphic xmlns:a="http://schemas.openxmlformats.org/drawingml/2006/main">
                    <a:graphicData uri="http://schemas.openxmlformats.org/drawingml/2006/picture">
                      <pic:pic xmlns:pic="http://schemas.openxmlformats.org/drawingml/2006/picture">
                        <pic:nvPicPr>
                          <pic:cNvPr id="71" name="图片_109"/>
                          <pic:cNvPicPr/>
                        </pic:nvPicPr>
                        <pic:blipFill>
                          <a:blip r:embed="rId40"/>
                          <a:stretch>
                            <a:fillRect/>
                          </a:stretch>
                        </pic:blipFill>
                        <pic:spPr>
                          <a:xfrm>
                            <a:off x="0" y="0"/>
                            <a:ext cx="1305560" cy="2009775"/>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层板/侧板：采用SUS304不锈钢板厚度1.2mm；柜门/衬筋：SUS304不锈钢板厚度1.0mm；门胆/背板：SUS304不锈钢板厚度0.8mm，双层门；                                                                               底边：暗沟式定位滑槽；上滑道、静音吊轮；台脚：可调不锈钢重力脚。</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256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J08</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工作台连下一层板</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1500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4</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714560" behindDoc="0" locked="0" layoutInCell="1" allowOverlap="1">
                  <wp:simplePos x="0" y="0"/>
                  <wp:positionH relativeFrom="column">
                    <wp:posOffset>-38735</wp:posOffset>
                  </wp:positionH>
                  <wp:positionV relativeFrom="paragraph">
                    <wp:posOffset>25400</wp:posOffset>
                  </wp:positionV>
                  <wp:extent cx="1372235" cy="1885950"/>
                  <wp:effectExtent l="0" t="0" r="18415" b="0"/>
                  <wp:wrapNone/>
                  <wp:docPr id="70" name="图片_110"/>
                  <wp:cNvGraphicFramePr/>
                  <a:graphic xmlns:a="http://schemas.openxmlformats.org/drawingml/2006/main">
                    <a:graphicData uri="http://schemas.openxmlformats.org/drawingml/2006/picture">
                      <pic:pic xmlns:pic="http://schemas.openxmlformats.org/drawingml/2006/picture">
                        <pic:nvPicPr>
                          <pic:cNvPr id="70" name="图片_110"/>
                          <pic:cNvPicPr/>
                        </pic:nvPicPr>
                        <pic:blipFill>
                          <a:blip r:embed="rId11"/>
                          <a:stretch>
                            <a:fillRect/>
                          </a:stretch>
                        </pic:blipFill>
                        <pic:spPr>
                          <a:xfrm>
                            <a:off x="0" y="0"/>
                            <a:ext cx="1372235" cy="1885950"/>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台面：采用SUS304不锈钢板厚度1.2mm；下衬15mm细木工板；层板：不锈钢板厚度1.0mm，下层板条格式；衬筋：不锈钢板厚度1.0mm；脚通：不锈钢方管38*38*1.0mm；台脚：可调不锈钢子弹脚。</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465" w:hRule="atLeast"/>
        </w:trPr>
        <w:tc>
          <w:tcPr>
            <w:tcW w:w="1463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r>
              <w:rPr>
                <w:rFonts w:hint="eastAsia" w:ascii="宋体" w:hAnsi="宋体" w:cs="宋体"/>
                <w:b/>
                <w:bCs/>
                <w:kern w:val="0"/>
                <w:sz w:val="20"/>
                <w:szCs w:val="20"/>
              </w:rPr>
              <w:t>洗消间</w:t>
            </w:r>
          </w:p>
        </w:tc>
      </w:tr>
      <w:tr>
        <w:tblPrEx>
          <w:tblCellMar>
            <w:top w:w="0" w:type="dxa"/>
            <w:left w:w="108" w:type="dxa"/>
            <w:bottom w:w="0" w:type="dxa"/>
            <w:right w:w="108" w:type="dxa"/>
          </w:tblCellMar>
        </w:tblPrEx>
        <w:trPr>
          <w:trHeight w:val="378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K01</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单孔残菜台</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1500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715584" behindDoc="0" locked="0" layoutInCell="1" allowOverlap="1">
                  <wp:simplePos x="0" y="0"/>
                  <wp:positionH relativeFrom="column">
                    <wp:posOffset>-635</wp:posOffset>
                  </wp:positionH>
                  <wp:positionV relativeFrom="paragraph">
                    <wp:posOffset>8255</wp:posOffset>
                  </wp:positionV>
                  <wp:extent cx="1315085" cy="2346325"/>
                  <wp:effectExtent l="0" t="0" r="18415" b="15875"/>
                  <wp:wrapNone/>
                  <wp:docPr id="68" name="图片_111"/>
                  <wp:cNvGraphicFramePr/>
                  <a:graphic xmlns:a="http://schemas.openxmlformats.org/drawingml/2006/main">
                    <a:graphicData uri="http://schemas.openxmlformats.org/drawingml/2006/picture">
                      <pic:pic xmlns:pic="http://schemas.openxmlformats.org/drawingml/2006/picture">
                        <pic:nvPicPr>
                          <pic:cNvPr id="68" name="图片_111"/>
                          <pic:cNvPicPr/>
                        </pic:nvPicPr>
                        <pic:blipFill>
                          <a:blip r:embed="rId52"/>
                          <a:stretch>
                            <a:fillRect/>
                          </a:stretch>
                        </pic:blipFill>
                        <pic:spPr>
                          <a:xfrm>
                            <a:off x="0" y="0"/>
                            <a:ext cx="1315085" cy="2346325"/>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台面：采用SUS304不锈钢板厚度1.2mm；衬筋：SUS304不锈钢板厚度1.0mm；脚通：SUS304不锈钢方管38*38*1.0mm；横管：SUS304不锈钢方管38*25*1.0mm；台脚：可调不锈钢子弹脚。</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346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K02</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单星盆无下层板</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4</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716608" behindDoc="0" locked="0" layoutInCell="1" allowOverlap="1">
                  <wp:simplePos x="0" y="0"/>
                  <wp:positionH relativeFrom="column">
                    <wp:posOffset>-8890</wp:posOffset>
                  </wp:positionH>
                  <wp:positionV relativeFrom="paragraph">
                    <wp:posOffset>22225</wp:posOffset>
                  </wp:positionV>
                  <wp:extent cx="1351915" cy="2319655"/>
                  <wp:effectExtent l="0" t="0" r="635" b="4445"/>
                  <wp:wrapNone/>
                  <wp:docPr id="69" name="图片_112"/>
                  <wp:cNvGraphicFramePr/>
                  <a:graphic xmlns:a="http://schemas.openxmlformats.org/drawingml/2006/main">
                    <a:graphicData uri="http://schemas.openxmlformats.org/drawingml/2006/picture">
                      <pic:pic xmlns:pic="http://schemas.openxmlformats.org/drawingml/2006/picture">
                        <pic:nvPicPr>
                          <pic:cNvPr id="69" name="图片_112"/>
                          <pic:cNvPicPr/>
                        </pic:nvPicPr>
                        <pic:blipFill>
                          <a:blip r:embed="rId44"/>
                          <a:stretch>
                            <a:fillRect/>
                          </a:stretch>
                        </pic:blipFill>
                        <pic:spPr>
                          <a:xfrm>
                            <a:off x="0" y="0"/>
                            <a:ext cx="1351915" cy="2319655"/>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台面：采用SUS304不锈钢板厚度1.2mm；衬筋：SUS304不锈钢板厚度1.0mm；星盆：SUS304不锈钢板厚度1.2mm，配不锈钢落水；脚通：SUS304不锈钢方管38*38*1.0mm；横管：SUS304不锈钢方管38*25*1.0mm；台脚：可调不锈钢子弹脚。</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303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配</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冷热水龙头</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4</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套</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717632" behindDoc="0" locked="0" layoutInCell="1" allowOverlap="1">
                  <wp:simplePos x="0" y="0"/>
                  <wp:positionH relativeFrom="column">
                    <wp:posOffset>-19685</wp:posOffset>
                  </wp:positionH>
                  <wp:positionV relativeFrom="paragraph">
                    <wp:posOffset>41275</wp:posOffset>
                  </wp:positionV>
                  <wp:extent cx="1342390" cy="1841500"/>
                  <wp:effectExtent l="0" t="0" r="10160" b="6350"/>
                  <wp:wrapNone/>
                  <wp:docPr id="67" name="图片_113"/>
                  <wp:cNvGraphicFramePr/>
                  <a:graphic xmlns:a="http://schemas.openxmlformats.org/drawingml/2006/main">
                    <a:graphicData uri="http://schemas.openxmlformats.org/drawingml/2006/picture">
                      <pic:pic xmlns:pic="http://schemas.openxmlformats.org/drawingml/2006/picture">
                        <pic:nvPicPr>
                          <pic:cNvPr id="67" name="图片_113"/>
                          <pic:cNvPicPr/>
                        </pic:nvPicPr>
                        <pic:blipFill>
                          <a:blip r:embed="rId53"/>
                          <a:stretch>
                            <a:fillRect/>
                          </a:stretch>
                        </pic:blipFill>
                        <pic:spPr>
                          <a:xfrm>
                            <a:off x="0" y="0"/>
                            <a:ext cx="1342390" cy="1841500"/>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 红太阳，EQUIP，华舟</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sz w:val="20"/>
                <w:szCs w:val="20"/>
              </w:rPr>
            </w:pPr>
          </w:p>
        </w:tc>
      </w:tr>
      <w:tr>
        <w:tblPrEx>
          <w:tblCellMar>
            <w:top w:w="0" w:type="dxa"/>
            <w:left w:w="108" w:type="dxa"/>
            <w:bottom w:w="0" w:type="dxa"/>
            <w:right w:w="108" w:type="dxa"/>
          </w:tblCellMar>
        </w:tblPrEx>
        <w:trPr>
          <w:trHeight w:val="261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K03</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工作台连下一层板</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1500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718656" behindDoc="0" locked="0" layoutInCell="1" allowOverlap="1">
                  <wp:simplePos x="0" y="0"/>
                  <wp:positionH relativeFrom="column">
                    <wp:posOffset>-8255</wp:posOffset>
                  </wp:positionH>
                  <wp:positionV relativeFrom="paragraph">
                    <wp:posOffset>39370</wp:posOffset>
                  </wp:positionV>
                  <wp:extent cx="1325245" cy="1589405"/>
                  <wp:effectExtent l="0" t="0" r="8255" b="10795"/>
                  <wp:wrapNone/>
                  <wp:docPr id="63" name="图片_114"/>
                  <wp:cNvGraphicFramePr/>
                  <a:graphic xmlns:a="http://schemas.openxmlformats.org/drawingml/2006/main">
                    <a:graphicData uri="http://schemas.openxmlformats.org/drawingml/2006/picture">
                      <pic:pic xmlns:pic="http://schemas.openxmlformats.org/drawingml/2006/picture">
                        <pic:nvPicPr>
                          <pic:cNvPr id="63" name="图片_114"/>
                          <pic:cNvPicPr/>
                        </pic:nvPicPr>
                        <pic:blipFill>
                          <a:blip r:embed="rId11"/>
                          <a:stretch>
                            <a:fillRect/>
                          </a:stretch>
                        </pic:blipFill>
                        <pic:spPr>
                          <a:xfrm>
                            <a:off x="0" y="0"/>
                            <a:ext cx="1325245" cy="1589405"/>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台面：采用SUS304不锈钢板厚度1.2mm；下衬15mm细木工板；层板：不锈钢板厚度1.0mm，下层板条格式；衬筋：不锈钢板厚度1.0mm；脚通：不锈钢方管38*38*1.0mm；台脚：可调不锈钢子弹脚。</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310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K04</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开水器连底座（60L）</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KSQ-9</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525</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525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1400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719680" behindDoc="0" locked="0" layoutInCell="1" allowOverlap="1">
                  <wp:simplePos x="0" y="0"/>
                  <wp:positionH relativeFrom="column">
                    <wp:posOffset>-19685</wp:posOffset>
                  </wp:positionH>
                  <wp:positionV relativeFrom="paragraph">
                    <wp:posOffset>44450</wp:posOffset>
                  </wp:positionV>
                  <wp:extent cx="1332865" cy="1906270"/>
                  <wp:effectExtent l="0" t="0" r="635" b="17780"/>
                  <wp:wrapNone/>
                  <wp:docPr id="64" name="图片_117"/>
                  <wp:cNvGraphicFramePr/>
                  <a:graphic xmlns:a="http://schemas.openxmlformats.org/drawingml/2006/main">
                    <a:graphicData uri="http://schemas.openxmlformats.org/drawingml/2006/picture">
                      <pic:pic xmlns:pic="http://schemas.openxmlformats.org/drawingml/2006/picture">
                        <pic:nvPicPr>
                          <pic:cNvPr id="64" name="图片_117"/>
                          <pic:cNvPicPr/>
                        </pic:nvPicPr>
                        <pic:blipFill>
                          <a:blip r:embed="rId54"/>
                          <a:stretch>
                            <a:fillRect/>
                          </a:stretch>
                        </pic:blipFill>
                        <pic:spPr>
                          <a:xfrm>
                            <a:off x="0" y="0"/>
                            <a:ext cx="1332865" cy="1906270"/>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恒联，明睿</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开水器连底座 12KW 电压/功率：380V/12KW；容量：90L；供水量：120L/h。机身：采用SUS304不锈钢板厚度1.0mm,内胆不锈钢板厚度0.8mm。</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321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K05</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不锈钢双门消毒柜</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RTP700G-1</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1192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553</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1660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2</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720704" behindDoc="0" locked="0" layoutInCell="1" allowOverlap="1">
                  <wp:simplePos x="0" y="0"/>
                  <wp:positionH relativeFrom="column">
                    <wp:posOffset>-10160</wp:posOffset>
                  </wp:positionH>
                  <wp:positionV relativeFrom="paragraph">
                    <wp:posOffset>40005</wp:posOffset>
                  </wp:positionV>
                  <wp:extent cx="1335405" cy="2321560"/>
                  <wp:effectExtent l="0" t="0" r="17145" b="2540"/>
                  <wp:wrapNone/>
                  <wp:docPr id="65" name="图片_119"/>
                  <wp:cNvGraphicFramePr/>
                  <a:graphic xmlns:a="http://schemas.openxmlformats.org/drawingml/2006/main">
                    <a:graphicData uri="http://schemas.openxmlformats.org/drawingml/2006/picture">
                      <pic:pic xmlns:pic="http://schemas.openxmlformats.org/drawingml/2006/picture">
                        <pic:nvPicPr>
                          <pic:cNvPr id="65" name="图片_119"/>
                          <pic:cNvPicPr/>
                        </pic:nvPicPr>
                        <pic:blipFill>
                          <a:blip r:embed="rId55"/>
                          <a:stretch>
                            <a:fillRect/>
                          </a:stretch>
                        </pic:blipFill>
                        <pic:spPr>
                          <a:xfrm>
                            <a:off x="0" y="0"/>
                            <a:ext cx="1335405" cy="2321560"/>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康宝，Americhef </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柜身：采用SUS304不锈钢板厚度1.2mm；不准采用整体发泡，必须采用隔热材料；柜门：SUS304不锈钢板厚度1.0mm，整体聚氨酯发泡；内胆：不锈钢板厚度0.8mm；胶条：嵌入式硅胶条；；控温范围：50-150度；消毒湿度：130度采用自动控温、操作方便；热风循环、热量均匀、无死角、高温消毒杀菌；符合卫生防疫要求；提供电热产品生产许可证；</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330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K06</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高身四门碗柜</w:t>
            </w:r>
          </w:p>
        </w:tc>
        <w:tc>
          <w:tcPr>
            <w:tcW w:w="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1200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500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1800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3</w:t>
            </w: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台</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bdr w:val="single" w:color="000000" w:sz="4" w:space="0"/>
                <w:shd w:val="clear" w:color="auto" w:fill="CCE8CF"/>
              </w:rPr>
              <w:drawing>
                <wp:anchor distT="0" distB="0" distL="114300" distR="114300" simplePos="0" relativeHeight="251721728" behindDoc="0" locked="0" layoutInCell="1" allowOverlap="1">
                  <wp:simplePos x="0" y="0"/>
                  <wp:positionH relativeFrom="column">
                    <wp:posOffset>-10160</wp:posOffset>
                  </wp:positionH>
                  <wp:positionV relativeFrom="paragraph">
                    <wp:posOffset>40005</wp:posOffset>
                  </wp:positionV>
                  <wp:extent cx="1315720" cy="2009140"/>
                  <wp:effectExtent l="0" t="0" r="17780" b="10160"/>
                  <wp:wrapNone/>
                  <wp:docPr id="66" name="图片_120"/>
                  <wp:cNvGraphicFramePr/>
                  <a:graphic xmlns:a="http://schemas.openxmlformats.org/drawingml/2006/main">
                    <a:graphicData uri="http://schemas.openxmlformats.org/drawingml/2006/picture">
                      <pic:pic xmlns:pic="http://schemas.openxmlformats.org/drawingml/2006/picture">
                        <pic:nvPicPr>
                          <pic:cNvPr id="66" name="图片_120"/>
                          <pic:cNvPicPr/>
                        </pic:nvPicPr>
                        <pic:blipFill>
                          <a:blip r:embed="rId56"/>
                          <a:stretch>
                            <a:fillRect/>
                          </a:stretch>
                        </pic:blipFill>
                        <pic:spPr>
                          <a:xfrm>
                            <a:off x="0" y="0"/>
                            <a:ext cx="1315720" cy="2009140"/>
                          </a:xfrm>
                          <a:prstGeom prst="rect">
                            <a:avLst/>
                          </a:prstGeom>
                          <a:noFill/>
                          <a:ln>
                            <a:noFill/>
                          </a:ln>
                        </pic:spPr>
                      </pic:pic>
                    </a:graphicData>
                  </a:graphic>
                </wp:anchor>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kern w:val="0"/>
                <w:sz w:val="20"/>
                <w:szCs w:val="20"/>
              </w:rPr>
              <w:t>层板/侧板：采用SUS304不锈钢板厚度1.2mm；柜门/衬筋：SUS304不锈钢板厚度1.0mm；门胆/背板：SUS304不锈钢板厚度0.8mm，双层门；                                                                               底边：暗沟式定位滑槽；上滑道、静音吊轮；台脚：可调不锈钢重力脚。</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bl>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r>
        <w:rPr>
          <w:rFonts w:hint="eastAsia"/>
        </w:rPr>
        <w:t>（二）厨房排烟新风系统清单</w:t>
      </w:r>
    </w:p>
    <w:tbl>
      <w:tblPr>
        <w:tblStyle w:val="17"/>
        <w:tblW w:w="14631" w:type="dxa"/>
        <w:tblInd w:w="91" w:type="dxa"/>
        <w:tblLayout w:type="fixed"/>
        <w:tblCellMar>
          <w:top w:w="0" w:type="dxa"/>
          <w:left w:w="108" w:type="dxa"/>
          <w:bottom w:w="0" w:type="dxa"/>
          <w:right w:w="108" w:type="dxa"/>
        </w:tblCellMar>
      </w:tblPr>
      <w:tblGrid>
        <w:gridCol w:w="591"/>
        <w:gridCol w:w="1042"/>
        <w:gridCol w:w="458"/>
        <w:gridCol w:w="2925"/>
        <w:gridCol w:w="765"/>
        <w:gridCol w:w="495"/>
        <w:gridCol w:w="2250"/>
        <w:gridCol w:w="1020"/>
        <w:gridCol w:w="2430"/>
        <w:gridCol w:w="885"/>
        <w:gridCol w:w="885"/>
        <w:gridCol w:w="885"/>
      </w:tblGrid>
      <w:tr>
        <w:tblPrEx>
          <w:tblCellMar>
            <w:top w:w="0" w:type="dxa"/>
            <w:left w:w="108" w:type="dxa"/>
            <w:bottom w:w="0" w:type="dxa"/>
            <w:right w:w="108" w:type="dxa"/>
          </w:tblCellMar>
        </w:tblPrEx>
        <w:trPr>
          <w:trHeight w:val="48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sz w:val="22"/>
                <w:szCs w:val="22"/>
              </w:rPr>
            </w:pPr>
            <w:r>
              <w:rPr>
                <w:rFonts w:hint="eastAsia" w:ascii="微软雅黑" w:hAnsi="微软雅黑" w:eastAsia="微软雅黑" w:cs="微软雅黑"/>
                <w:b/>
                <w:bCs/>
                <w:kern w:val="0"/>
                <w:sz w:val="22"/>
                <w:szCs w:val="22"/>
              </w:rPr>
              <w:t>序号</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sz w:val="22"/>
                <w:szCs w:val="22"/>
              </w:rPr>
            </w:pPr>
            <w:r>
              <w:rPr>
                <w:rFonts w:hint="eastAsia" w:ascii="微软雅黑" w:hAnsi="微软雅黑" w:eastAsia="微软雅黑" w:cs="微软雅黑"/>
                <w:b/>
                <w:bCs/>
                <w:kern w:val="0"/>
                <w:sz w:val="22"/>
                <w:szCs w:val="22"/>
              </w:rPr>
              <w:t>名称</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sz w:val="22"/>
                <w:szCs w:val="22"/>
              </w:rPr>
            </w:pPr>
            <w:r>
              <w:rPr>
                <w:rFonts w:hint="eastAsia" w:ascii="微软雅黑" w:hAnsi="微软雅黑" w:eastAsia="微软雅黑" w:cs="微软雅黑"/>
                <w:b/>
                <w:bCs/>
                <w:kern w:val="0"/>
                <w:sz w:val="22"/>
                <w:szCs w:val="22"/>
              </w:rPr>
              <w:t>型号</w:t>
            </w: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sz w:val="22"/>
                <w:szCs w:val="22"/>
              </w:rPr>
            </w:pPr>
            <w:r>
              <w:rPr>
                <w:rFonts w:hint="eastAsia" w:ascii="微软雅黑" w:hAnsi="微软雅黑" w:eastAsia="微软雅黑" w:cs="微软雅黑"/>
                <w:b/>
                <w:bCs/>
                <w:kern w:val="0"/>
                <w:sz w:val="22"/>
                <w:szCs w:val="22"/>
              </w:rPr>
              <w:t>尺寸</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sz w:val="22"/>
                <w:szCs w:val="22"/>
              </w:rPr>
            </w:pPr>
            <w:r>
              <w:rPr>
                <w:rFonts w:hint="eastAsia" w:ascii="微软雅黑" w:hAnsi="微软雅黑" w:eastAsia="微软雅黑" w:cs="微软雅黑"/>
                <w:b/>
                <w:bCs/>
                <w:kern w:val="0"/>
                <w:sz w:val="22"/>
                <w:szCs w:val="22"/>
              </w:rPr>
              <w:t>数量</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sz w:val="22"/>
                <w:szCs w:val="22"/>
              </w:rPr>
            </w:pPr>
            <w:r>
              <w:rPr>
                <w:rFonts w:hint="eastAsia" w:ascii="微软雅黑" w:hAnsi="微软雅黑" w:eastAsia="微软雅黑" w:cs="微软雅黑"/>
                <w:b/>
                <w:bCs/>
                <w:kern w:val="0"/>
                <w:sz w:val="22"/>
                <w:szCs w:val="22"/>
              </w:rPr>
              <w:t>单位</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sz w:val="22"/>
                <w:szCs w:val="22"/>
              </w:rPr>
            </w:pPr>
            <w:r>
              <w:rPr>
                <w:rFonts w:hint="eastAsia" w:ascii="微软雅黑" w:hAnsi="微软雅黑" w:eastAsia="微软雅黑" w:cs="微软雅黑"/>
                <w:b/>
                <w:bCs/>
                <w:kern w:val="0"/>
                <w:sz w:val="22"/>
                <w:szCs w:val="22"/>
              </w:rPr>
              <w:t>设备图片</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sz w:val="28"/>
                <w:szCs w:val="28"/>
              </w:rPr>
            </w:pPr>
            <w:r>
              <w:rPr>
                <w:rFonts w:hint="eastAsia" w:ascii="微软雅黑" w:hAnsi="微软雅黑" w:eastAsia="微软雅黑" w:cs="微软雅黑"/>
                <w:b/>
                <w:bCs/>
                <w:kern w:val="0"/>
                <w:sz w:val="28"/>
                <w:szCs w:val="28"/>
              </w:rPr>
              <w:t>品牌</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sz w:val="28"/>
                <w:szCs w:val="28"/>
              </w:rPr>
            </w:pPr>
            <w:r>
              <w:rPr>
                <w:rFonts w:hint="eastAsia" w:ascii="微软雅黑" w:hAnsi="微软雅黑" w:eastAsia="微软雅黑" w:cs="微软雅黑"/>
                <w:b/>
                <w:bCs/>
                <w:kern w:val="0"/>
                <w:sz w:val="28"/>
                <w:szCs w:val="28"/>
              </w:rPr>
              <w:t>技术参数</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kern w:val="0"/>
                <w:sz w:val="28"/>
                <w:szCs w:val="28"/>
              </w:rPr>
            </w:pPr>
            <w:r>
              <w:rPr>
                <w:rFonts w:hint="eastAsia" w:ascii="宋体" w:hAnsi="宋体" w:cs="宋体"/>
                <w:b/>
                <w:kern w:val="0"/>
                <w:sz w:val="20"/>
                <w:szCs w:val="20"/>
              </w:rPr>
              <w:t>综合单价(元）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kern w:val="0"/>
                <w:sz w:val="28"/>
                <w:szCs w:val="28"/>
              </w:rPr>
            </w:pPr>
            <w:r>
              <w:rPr>
                <w:rFonts w:hint="eastAsia" w:ascii="宋体" w:hAnsi="宋体" w:cs="宋体"/>
                <w:b/>
                <w:kern w:val="0"/>
                <w:sz w:val="20"/>
                <w:szCs w:val="20"/>
              </w:rPr>
              <w:t>合计(元）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kern w:val="0"/>
                <w:sz w:val="28"/>
                <w:szCs w:val="28"/>
              </w:rPr>
            </w:pPr>
            <w:r>
              <w:rPr>
                <w:rFonts w:hint="eastAsia" w:ascii="宋体" w:hAnsi="宋体" w:cs="宋体"/>
                <w:b/>
                <w:kern w:val="0"/>
                <w:sz w:val="20"/>
                <w:szCs w:val="20"/>
              </w:rPr>
              <w:t>所投产品品牌/规格型号</w:t>
            </w:r>
          </w:p>
        </w:tc>
      </w:tr>
      <w:tr>
        <w:tblPrEx>
          <w:tblCellMar>
            <w:top w:w="0" w:type="dxa"/>
            <w:left w:w="108" w:type="dxa"/>
            <w:bottom w:w="0" w:type="dxa"/>
            <w:right w:w="108" w:type="dxa"/>
          </w:tblCellMar>
        </w:tblPrEx>
        <w:trPr>
          <w:trHeight w:val="480" w:hRule="atLeast"/>
        </w:trPr>
        <w:tc>
          <w:tcPr>
            <w:tcW w:w="14631"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abs>
                <w:tab w:val="left" w:pos="7938"/>
              </w:tabs>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4"/>
              </w:rPr>
              <w:t>排烟系统</w:t>
            </w:r>
          </w:p>
        </w:tc>
      </w:tr>
      <w:tr>
        <w:tblPrEx>
          <w:tblCellMar>
            <w:top w:w="0" w:type="dxa"/>
            <w:left w:w="108" w:type="dxa"/>
            <w:bottom w:w="0" w:type="dxa"/>
            <w:right w:w="108" w:type="dxa"/>
          </w:tblCellMar>
        </w:tblPrEx>
        <w:trPr>
          <w:trHeight w:val="48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排风风管</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385</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drawing>
                <wp:inline distT="0" distB="0" distL="114300" distR="114300">
                  <wp:extent cx="1332230" cy="972185"/>
                  <wp:effectExtent l="0" t="0" r="1270" b="184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1332230" cy="972185"/>
                          </a:xfrm>
                          <a:prstGeom prst="rect">
                            <a:avLst/>
                          </a:prstGeom>
                        </pic:spPr>
                      </pic:pic>
                    </a:graphicData>
                  </a:graphic>
                </wp:inline>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1.0镀锌板</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48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2</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箱式静音风机（室内）</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1170*1250*1225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件</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drawing>
                <wp:inline distT="0" distB="0" distL="114300" distR="114300">
                  <wp:extent cx="1361440" cy="1482725"/>
                  <wp:effectExtent l="0" t="0" r="10160" b="31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8"/>
                          <a:stretch>
                            <a:fillRect/>
                          </a:stretch>
                        </pic:blipFill>
                        <pic:spPr>
                          <a:xfrm>
                            <a:off x="0" y="0"/>
                            <a:ext cx="1361440" cy="1482725"/>
                          </a:xfrm>
                          <a:prstGeom prst="rect">
                            <a:avLst/>
                          </a:prstGeom>
                        </pic:spPr>
                      </pic:pic>
                    </a:graphicData>
                  </a:graphic>
                </wp:inline>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 xml:space="preserve">北沃，应达，三枪 </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 xml:space="preserve">流量：33500-42500 压帕：1200Pa </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48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3</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油烟净化器</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1200*1300*1280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件</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drawing>
                <wp:inline distT="0" distB="0" distL="114300" distR="114300">
                  <wp:extent cx="1437640" cy="1513205"/>
                  <wp:effectExtent l="0" t="0" r="10160" b="1079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9"/>
                          <a:stretch>
                            <a:fillRect/>
                          </a:stretch>
                        </pic:blipFill>
                        <pic:spPr>
                          <a:xfrm>
                            <a:off x="0" y="0"/>
                            <a:ext cx="1437640" cy="1513205"/>
                          </a:xfrm>
                          <a:prstGeom prst="rect">
                            <a:avLst/>
                          </a:prstGeom>
                        </pic:spPr>
                      </pic:pic>
                    </a:graphicData>
                  </a:graphic>
                </wp:inline>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北沃，SUPAR，应达，</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 xml:space="preserve">处理量：40000 阻力：150Pa </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48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4</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箱式静音风机（室内）</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1070*1170*1120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件</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drawing>
                <wp:inline distT="0" distB="0" distL="114300" distR="114300">
                  <wp:extent cx="1483995" cy="1616075"/>
                  <wp:effectExtent l="0" t="0" r="1905" b="317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58"/>
                          <a:stretch>
                            <a:fillRect/>
                          </a:stretch>
                        </pic:blipFill>
                        <pic:spPr>
                          <a:xfrm>
                            <a:off x="0" y="0"/>
                            <a:ext cx="1483995" cy="1616075"/>
                          </a:xfrm>
                          <a:prstGeom prst="rect">
                            <a:avLst/>
                          </a:prstGeom>
                        </pic:spPr>
                      </pic:pic>
                    </a:graphicData>
                  </a:graphic>
                </wp:inline>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 xml:space="preserve">北沃，应达，三枪 </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流量：25500-35500 压帕：1160Pa</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252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5</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支管风量调节阀</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19</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件</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drawing>
                <wp:inline distT="0" distB="0" distL="114300" distR="114300">
                  <wp:extent cx="1340485" cy="1205230"/>
                  <wp:effectExtent l="0" t="0" r="12065" b="1397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40485" cy="1205230"/>
                          </a:xfrm>
                          <a:prstGeom prst="rect">
                            <a:avLst/>
                          </a:prstGeom>
                        </pic:spPr>
                      </pic:pic>
                    </a:graphicData>
                  </a:graphic>
                </wp:inline>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48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6</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辅助材料（丝杆、膨胀螺丝等）</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件</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197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7</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消音箱</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1200*1000mm</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2</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件</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drawing>
                <wp:inline distT="0" distB="0" distL="114300" distR="114300">
                  <wp:extent cx="1310640" cy="963930"/>
                  <wp:effectExtent l="0" t="0" r="3810" b="7620"/>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
                          <pic:cNvPicPr>
                            <a:picLocks noChangeAspect="1" noChangeArrowheads="1"/>
                          </pic:cNvPicPr>
                        </pic:nvPicPr>
                        <pic:blipFill>
                          <a:blip r:embed="rId61"/>
                          <a:srcRect/>
                          <a:stretch>
                            <a:fillRect/>
                          </a:stretch>
                        </pic:blipFill>
                        <pic:spPr>
                          <a:xfrm>
                            <a:off x="0" y="0"/>
                            <a:ext cx="1310640" cy="963930"/>
                          </a:xfrm>
                          <a:prstGeom prst="rect">
                            <a:avLst/>
                          </a:prstGeom>
                          <a:noFill/>
                          <a:ln w="1">
                            <a:noFill/>
                            <a:miter lim="800000"/>
                            <a:headEnd/>
                            <a:tailEnd type="none" w="med" len="med"/>
                          </a:ln>
                          <a:effectLst/>
                        </pic:spPr>
                      </pic:pic>
                    </a:graphicData>
                  </a:graphic>
                </wp:inline>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219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8</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减震器</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200kg</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8</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件</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drawing>
                <wp:inline distT="0" distB="0" distL="114300" distR="114300">
                  <wp:extent cx="1352550" cy="1042035"/>
                  <wp:effectExtent l="0" t="0" r="0" b="571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352550" cy="1042035"/>
                          </a:xfrm>
                          <a:prstGeom prst="rect">
                            <a:avLst/>
                          </a:prstGeom>
                        </pic:spPr>
                      </pic:pic>
                    </a:graphicData>
                  </a:graphic>
                </wp:inline>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180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9</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防火阀</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1400*1000mm</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2</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件</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drawing>
                <wp:inline distT="0" distB="0" distL="114300" distR="114300">
                  <wp:extent cx="1456690" cy="889635"/>
                  <wp:effectExtent l="0" t="0" r="10160" b="571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56690" cy="889635"/>
                          </a:xfrm>
                          <a:prstGeom prst="rect">
                            <a:avLst/>
                          </a:prstGeom>
                        </pic:spPr>
                      </pic:pic>
                    </a:graphicData>
                  </a:graphic>
                </wp:inline>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48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10</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止回阀</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1200*1000mm</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2</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件</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drawing>
                <wp:inline distT="0" distB="0" distL="114300" distR="114300">
                  <wp:extent cx="1490345" cy="1498600"/>
                  <wp:effectExtent l="0" t="0" r="14605" b="635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90345" cy="1498600"/>
                          </a:xfrm>
                          <a:prstGeom prst="rect">
                            <a:avLst/>
                          </a:prstGeom>
                        </pic:spPr>
                      </pic:pic>
                    </a:graphicData>
                  </a:graphic>
                </wp:inline>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48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11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控制箱（双控）</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2</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件</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480" w:hRule="atLeast"/>
        </w:trPr>
        <w:tc>
          <w:tcPr>
            <w:tcW w:w="14631"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abs>
                <w:tab w:val="left" w:pos="6438"/>
              </w:tabs>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8"/>
                <w:szCs w:val="28"/>
              </w:rPr>
              <w:t>新风系统</w:t>
            </w:r>
          </w:p>
        </w:tc>
      </w:tr>
      <w:tr>
        <w:tblPrEx>
          <w:tblCellMar>
            <w:top w:w="0" w:type="dxa"/>
            <w:left w:w="108" w:type="dxa"/>
            <w:bottom w:w="0" w:type="dxa"/>
            <w:right w:w="108" w:type="dxa"/>
          </w:tblCellMar>
        </w:tblPrEx>
        <w:trPr>
          <w:trHeight w:val="48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240" w:firstLineChars="100"/>
              <w:textAlignment w:val="center"/>
              <w:rPr>
                <w:rFonts w:ascii="微软雅黑" w:hAnsi="微软雅黑" w:eastAsia="微软雅黑" w:cs="微软雅黑"/>
                <w:kern w:val="0"/>
                <w:sz w:val="20"/>
                <w:szCs w:val="20"/>
              </w:rPr>
            </w:pPr>
            <w:r>
              <w:rPr>
                <w:rFonts w:hint="eastAsia" w:ascii="宋体" w:hAnsi="宋体" w:cs="宋体"/>
                <w:kern w:val="0"/>
                <w:sz w:val="24"/>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kern w:val="0"/>
                <w:sz w:val="24"/>
              </w:rPr>
            </w:pPr>
          </w:p>
          <w:p>
            <w:pPr>
              <w:widowControl/>
              <w:jc w:val="left"/>
              <w:textAlignment w:val="center"/>
              <w:rPr>
                <w:rFonts w:ascii="微软雅黑" w:hAnsi="微软雅黑" w:eastAsia="微软雅黑" w:cs="微软雅黑"/>
                <w:kern w:val="0"/>
                <w:sz w:val="20"/>
                <w:szCs w:val="20"/>
              </w:rPr>
            </w:pPr>
            <w:r>
              <w:rPr>
                <w:rFonts w:hint="eastAsia" w:ascii="宋体" w:hAnsi="宋体" w:cs="宋体"/>
                <w:kern w:val="0"/>
                <w:sz w:val="24"/>
              </w:rPr>
              <w:t>新风风管</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kern w:val="0"/>
                <w:sz w:val="20"/>
                <w:szCs w:val="20"/>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宋体" w:hAnsi="宋体" w:cs="宋体"/>
                <w:kern w:val="0"/>
                <w:sz w:val="24"/>
              </w:rPr>
              <w:t>157</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宋体" w:hAnsi="宋体" w:cs="宋体"/>
                <w:kern w:val="0"/>
                <w:sz w:val="24"/>
              </w:rPr>
              <w:t>㎡</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drawing>
                <wp:inline distT="0" distB="0" distL="114300" distR="114300">
                  <wp:extent cx="1398270" cy="1019810"/>
                  <wp:effectExtent l="0" t="0" r="11430" b="889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1398270" cy="1019810"/>
                          </a:xfrm>
                          <a:prstGeom prst="rect">
                            <a:avLst/>
                          </a:prstGeom>
                        </pic:spPr>
                      </pic:pic>
                    </a:graphicData>
                  </a:graphic>
                </wp:inline>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宋体" w:hAnsi="宋体" w:cs="宋体"/>
                <w:kern w:val="0"/>
                <w:sz w:val="24"/>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1.0镀锌板</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48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宋体" w:hAnsi="宋体" w:cs="宋体"/>
                <w:kern w:val="0"/>
                <w:sz w:val="24"/>
              </w:rPr>
              <w:t>2</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kern w:val="0"/>
                <w:sz w:val="20"/>
                <w:szCs w:val="20"/>
              </w:rPr>
            </w:pPr>
            <w:r>
              <w:rPr>
                <w:rFonts w:hint="eastAsia" w:ascii="宋体" w:hAnsi="宋体" w:cs="宋体"/>
                <w:kern w:val="0"/>
                <w:sz w:val="24"/>
              </w:rPr>
              <w:t>箱式静音风机（室内）</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宋体" w:hAnsi="宋体" w:cs="宋体"/>
                <w:kern w:val="0"/>
                <w:sz w:val="24"/>
              </w:rPr>
              <w:t>1170*1250*1225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宋体" w:hAnsi="宋体" w:cs="宋体"/>
                <w:kern w:val="0"/>
                <w:sz w:val="24"/>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宋体" w:hAnsi="宋体" w:cs="宋体"/>
                <w:kern w:val="0"/>
                <w:sz w:val="24"/>
              </w:rPr>
              <w:t>件</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drawing>
                <wp:inline distT="0" distB="0" distL="114300" distR="114300">
                  <wp:extent cx="1554480" cy="1692275"/>
                  <wp:effectExtent l="0" t="0" r="7620" b="317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58"/>
                          <a:stretch>
                            <a:fillRect/>
                          </a:stretch>
                        </pic:blipFill>
                        <pic:spPr>
                          <a:xfrm>
                            <a:off x="0" y="0"/>
                            <a:ext cx="1554480" cy="1692275"/>
                          </a:xfrm>
                          <a:prstGeom prst="rect">
                            <a:avLst/>
                          </a:prstGeom>
                        </pic:spPr>
                      </pic:pic>
                    </a:graphicData>
                  </a:graphic>
                </wp:inline>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宋体" w:hAnsi="宋体" w:cs="宋体"/>
                <w:kern w:val="0"/>
                <w:sz w:val="24"/>
              </w:rPr>
              <w:t xml:space="preserve">北沃，应达，三枪 </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 xml:space="preserve">流量：33500-42500 压帕：1200Pa </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48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宋体" w:hAnsi="宋体" w:cs="宋体"/>
                <w:kern w:val="0"/>
                <w:sz w:val="24"/>
              </w:rPr>
              <w:t>3</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kern w:val="0"/>
                <w:sz w:val="20"/>
                <w:szCs w:val="20"/>
              </w:rPr>
            </w:pPr>
            <w:r>
              <w:rPr>
                <w:rFonts w:hint="eastAsia" w:ascii="宋体" w:hAnsi="宋体" w:cs="宋体"/>
                <w:kern w:val="0"/>
                <w:sz w:val="24"/>
              </w:rPr>
              <w:t>软管</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kern w:val="0"/>
                <w:sz w:val="20"/>
                <w:szCs w:val="20"/>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宋体" w:hAnsi="宋体" w:cs="宋体"/>
                <w:kern w:val="0"/>
                <w:sz w:val="24"/>
              </w:rPr>
              <w:t>15</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宋体" w:hAnsi="宋体" w:cs="宋体"/>
                <w:kern w:val="0"/>
                <w:sz w:val="24"/>
              </w:rPr>
              <w:t>米</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drawing>
                <wp:inline distT="0" distB="0" distL="114300" distR="114300">
                  <wp:extent cx="1501140" cy="1423035"/>
                  <wp:effectExtent l="0" t="0" r="3810" b="571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1501140" cy="1423035"/>
                          </a:xfrm>
                          <a:prstGeom prst="rect">
                            <a:avLst/>
                          </a:prstGeom>
                        </pic:spPr>
                      </pic:pic>
                    </a:graphicData>
                  </a:graphic>
                </wp:inline>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宋体" w:hAnsi="宋体" w:cs="宋体"/>
                <w:kern w:val="0"/>
                <w:sz w:val="24"/>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48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宋体" w:hAnsi="宋体" w:cs="宋体"/>
                <w:kern w:val="0"/>
                <w:sz w:val="24"/>
              </w:rPr>
              <w:t>4</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kern w:val="0"/>
                <w:sz w:val="20"/>
                <w:szCs w:val="20"/>
              </w:rPr>
            </w:pPr>
            <w:r>
              <w:rPr>
                <w:rFonts w:hint="eastAsia" w:ascii="宋体" w:hAnsi="宋体" w:cs="宋体"/>
                <w:kern w:val="0"/>
                <w:sz w:val="24"/>
              </w:rPr>
              <w:t>减震器</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宋体" w:hAnsi="宋体" w:cs="宋体"/>
                <w:kern w:val="0"/>
                <w:sz w:val="24"/>
              </w:rPr>
              <w:t>150kg</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宋体" w:hAnsi="宋体" w:cs="宋体"/>
                <w:kern w:val="0"/>
                <w:sz w:val="24"/>
              </w:rPr>
              <w:t>4</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宋体" w:hAnsi="宋体" w:cs="宋体"/>
                <w:kern w:val="0"/>
                <w:sz w:val="24"/>
              </w:rPr>
              <w:t>件</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drawing>
                <wp:inline distT="0" distB="0" distL="114300" distR="114300">
                  <wp:extent cx="1513840" cy="1165225"/>
                  <wp:effectExtent l="0" t="0" r="10160" b="1587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513840" cy="1165225"/>
                          </a:xfrm>
                          <a:prstGeom prst="rect">
                            <a:avLst/>
                          </a:prstGeom>
                        </pic:spPr>
                      </pic:pic>
                    </a:graphicData>
                  </a:graphic>
                </wp:inline>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宋体" w:hAnsi="宋体" w:cs="宋体"/>
                <w:kern w:val="0"/>
                <w:sz w:val="24"/>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48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宋体" w:hAnsi="宋体" w:cs="宋体"/>
                <w:kern w:val="0"/>
                <w:sz w:val="24"/>
              </w:rPr>
              <w:t>5</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kern w:val="0"/>
                <w:sz w:val="20"/>
                <w:szCs w:val="20"/>
              </w:rPr>
            </w:pPr>
            <w:r>
              <w:rPr>
                <w:rFonts w:hint="eastAsia" w:ascii="宋体" w:hAnsi="宋体" w:cs="宋体"/>
                <w:kern w:val="0"/>
                <w:sz w:val="24"/>
              </w:rPr>
              <w:t>散流器</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宋体" w:hAnsi="宋体" w:cs="宋体"/>
                <w:kern w:val="0"/>
                <w:sz w:val="24"/>
              </w:rPr>
              <w:t>350*350mm</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宋体" w:hAnsi="宋体" w:cs="宋体"/>
                <w:kern w:val="0"/>
                <w:sz w:val="24"/>
              </w:rPr>
              <w:t>11</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宋体" w:hAnsi="宋体" w:cs="宋体"/>
                <w:kern w:val="0"/>
                <w:sz w:val="24"/>
              </w:rPr>
              <w:t>件</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drawing>
                <wp:inline distT="0" distB="0" distL="114300" distR="114300">
                  <wp:extent cx="1524000" cy="1017905"/>
                  <wp:effectExtent l="0" t="0" r="0" b="1079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1524000" cy="1017905"/>
                          </a:xfrm>
                          <a:prstGeom prst="rect">
                            <a:avLst/>
                          </a:prstGeom>
                        </pic:spPr>
                      </pic:pic>
                    </a:graphicData>
                  </a:graphic>
                </wp:inline>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宋体" w:hAnsi="宋体" w:cs="宋体"/>
                <w:kern w:val="0"/>
                <w:sz w:val="24"/>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48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宋体" w:hAnsi="宋体" w:cs="宋体"/>
                <w:kern w:val="0"/>
                <w:sz w:val="24"/>
              </w:rPr>
              <w:t>6</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kern w:val="0"/>
                <w:sz w:val="20"/>
                <w:szCs w:val="20"/>
              </w:rPr>
            </w:pPr>
            <w:r>
              <w:rPr>
                <w:rFonts w:hint="eastAsia" w:ascii="宋体" w:hAnsi="宋体" w:cs="宋体"/>
                <w:kern w:val="0"/>
                <w:sz w:val="24"/>
              </w:rPr>
              <w:t>消声器</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宋体" w:hAnsi="宋体" w:cs="宋体"/>
                <w:kern w:val="0"/>
                <w:sz w:val="24"/>
              </w:rPr>
              <w:t>1000*800mm</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宋体" w:hAnsi="宋体" w:cs="宋体"/>
                <w:kern w:val="0"/>
                <w:sz w:val="24"/>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宋体" w:hAnsi="宋体" w:cs="宋体"/>
                <w:kern w:val="0"/>
                <w:sz w:val="24"/>
              </w:rPr>
              <w:t>件</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drawing>
                <wp:inline distT="0" distB="0" distL="114300" distR="114300">
                  <wp:extent cx="952500" cy="996950"/>
                  <wp:effectExtent l="0" t="0" r="0" b="1270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7" cstate="print"/>
                          <a:srcRect/>
                          <a:stretch>
                            <a:fillRect/>
                          </a:stretch>
                        </pic:blipFill>
                        <pic:spPr>
                          <a:xfrm>
                            <a:off x="0" y="0"/>
                            <a:ext cx="952500" cy="996950"/>
                          </a:xfrm>
                          <a:prstGeom prst="rect">
                            <a:avLst/>
                          </a:prstGeom>
                          <a:noFill/>
                          <a:ln w="1">
                            <a:noFill/>
                            <a:miter lim="800000"/>
                            <a:headEnd/>
                            <a:tailEnd type="none" w="med" len="med"/>
                          </a:ln>
                          <a:effectLst/>
                        </pic:spPr>
                      </pic:pic>
                    </a:graphicData>
                  </a:graphic>
                </wp:inline>
              </w:drawing>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宋体" w:hAnsi="宋体" w:cs="宋体"/>
                <w:kern w:val="0"/>
                <w:sz w:val="24"/>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48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宋体" w:hAnsi="宋体" w:cs="宋体"/>
                <w:kern w:val="0"/>
                <w:sz w:val="24"/>
              </w:rPr>
              <w:t>7</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kern w:val="0"/>
                <w:sz w:val="20"/>
                <w:szCs w:val="20"/>
              </w:rPr>
            </w:pPr>
            <w:r>
              <w:rPr>
                <w:rFonts w:hint="eastAsia" w:ascii="宋体" w:hAnsi="宋体" w:cs="宋体"/>
                <w:kern w:val="0"/>
                <w:sz w:val="24"/>
              </w:rPr>
              <w:t>辅助材料（丝杆，膨胀螺丝等）</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kern w:val="0"/>
                <w:sz w:val="20"/>
                <w:szCs w:val="20"/>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宋体" w:hAnsi="宋体" w:cs="宋体"/>
                <w:kern w:val="0"/>
                <w:sz w:val="24"/>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宋体" w:hAnsi="宋体" w:cs="宋体"/>
                <w:kern w:val="0"/>
                <w:sz w:val="24"/>
              </w:rPr>
              <w:t>项</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宋体" w:hAnsi="宋体" w:cs="宋体"/>
                <w:kern w:val="0"/>
                <w:sz w:val="24"/>
              </w:rPr>
              <w:t>厂制品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r>
      <w:tr>
        <w:tblPrEx>
          <w:tblCellMar>
            <w:top w:w="0" w:type="dxa"/>
            <w:left w:w="108" w:type="dxa"/>
            <w:bottom w:w="0" w:type="dxa"/>
            <w:right w:w="108" w:type="dxa"/>
          </w:tblCellMar>
        </w:tblPrEx>
        <w:trPr>
          <w:trHeight w:val="805" w:hRule="atLeast"/>
        </w:trPr>
        <w:tc>
          <w:tcPr>
            <w:tcW w:w="14631"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8"/>
                <w:szCs w:val="28"/>
              </w:rPr>
              <w:t>设计费</w:t>
            </w:r>
          </w:p>
        </w:tc>
      </w:tr>
      <w:tr>
        <w:tblPrEx>
          <w:tblCellMar>
            <w:top w:w="0" w:type="dxa"/>
            <w:left w:w="108" w:type="dxa"/>
            <w:bottom w:w="0" w:type="dxa"/>
            <w:right w:w="108" w:type="dxa"/>
          </w:tblCellMar>
        </w:tblPrEx>
        <w:trPr>
          <w:trHeight w:val="805"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kern w:val="0"/>
                <w:sz w:val="24"/>
              </w:rPr>
            </w:pPr>
            <w:r>
              <w:rPr>
                <w:rFonts w:hint="eastAsia" w:ascii="宋体" w:hAnsi="宋体" w:cs="宋体"/>
                <w:kern w:val="0"/>
                <w:sz w:val="24"/>
              </w:rPr>
              <w:t>设计费</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2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kern w:val="0"/>
                <w:sz w:val="20"/>
                <w:szCs w:val="20"/>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项</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15000</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15000</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此项为不可竞争费</w:t>
            </w:r>
          </w:p>
        </w:tc>
      </w:tr>
      <w:tr>
        <w:tblPrEx>
          <w:tblCellMar>
            <w:top w:w="0" w:type="dxa"/>
            <w:left w:w="108" w:type="dxa"/>
            <w:bottom w:w="0" w:type="dxa"/>
            <w:right w:w="108" w:type="dxa"/>
          </w:tblCellMar>
        </w:tblPrEx>
        <w:trPr>
          <w:trHeight w:val="480" w:hRule="atLeast"/>
        </w:trPr>
        <w:tc>
          <w:tcPr>
            <w:tcW w:w="627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总计（人民币：元）</w:t>
            </w:r>
          </w:p>
        </w:tc>
        <w:tc>
          <w:tcPr>
            <w:tcW w:w="835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964" w:firstLineChars="400"/>
              <w:textAlignment w:val="center"/>
              <w:rPr>
                <w:rFonts w:ascii="微软雅黑" w:hAnsi="微软雅黑" w:eastAsia="微软雅黑" w:cs="微软雅黑"/>
                <w:kern w:val="0"/>
                <w:sz w:val="20"/>
                <w:szCs w:val="20"/>
              </w:rPr>
            </w:pPr>
            <w:r>
              <w:rPr>
                <w:rFonts w:hint="eastAsia" w:ascii="宋体" w:hAnsi="宋体" w:cs="宋体"/>
                <w:b/>
                <w:kern w:val="0"/>
                <w:sz w:val="24"/>
              </w:rPr>
              <w:t>小写：元        大写：</w:t>
            </w:r>
          </w:p>
        </w:tc>
      </w:tr>
      <w:tr>
        <w:tblPrEx>
          <w:tblCellMar>
            <w:top w:w="0" w:type="dxa"/>
            <w:left w:w="108" w:type="dxa"/>
            <w:bottom w:w="0" w:type="dxa"/>
            <w:right w:w="108" w:type="dxa"/>
          </w:tblCellMar>
        </w:tblPrEx>
        <w:trPr>
          <w:trHeight w:val="480" w:hRule="atLeast"/>
        </w:trPr>
        <w:tc>
          <w:tcPr>
            <w:tcW w:w="14631"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abs>
                <w:tab w:val="left" w:pos="6153"/>
              </w:tabs>
              <w:jc w:val="left"/>
              <w:textAlignment w:val="center"/>
            </w:pPr>
            <w:r>
              <w:rPr>
                <w:rFonts w:hint="eastAsia"/>
              </w:rPr>
              <w:t>注：</w:t>
            </w:r>
            <w:r>
              <w:rPr>
                <w:rFonts w:hint="eastAsia"/>
              </w:rPr>
              <w:br w:type="textWrapping"/>
            </w:r>
            <w:r>
              <w:rPr>
                <w:rFonts w:hint="eastAsia"/>
              </w:rPr>
              <w:t>1、综合单价为全费用单价，包含但不限于：制作、采购、运输、装卸、安装（包括所有措施费）、调试、质保期内维护费用、对业主人员的技术培训、费税、合同风险等所有费用；</w:t>
            </w:r>
          </w:p>
          <w:p>
            <w:pPr>
              <w:widowControl/>
              <w:tabs>
                <w:tab w:val="left" w:pos="6153"/>
              </w:tabs>
              <w:jc w:val="left"/>
              <w:textAlignment w:val="center"/>
            </w:pPr>
            <w:r>
              <w:rPr>
                <w:rFonts w:hint="eastAsia"/>
              </w:rPr>
              <w:t>2、供应商应考虑甲方前期的设计费用：</w:t>
            </w:r>
            <w:r>
              <w:rPr>
                <w:rFonts w:hint="eastAsia"/>
                <w:b/>
                <w:bCs/>
              </w:rPr>
              <w:t>15000元（设计费为不可竞争费）</w:t>
            </w:r>
            <w:r>
              <w:rPr>
                <w:rFonts w:hint="eastAsia"/>
              </w:rPr>
              <w:t>，投标单位需将此项费用考虑在内，并在中标后支付给设计单位，设计单位提供普票。</w:t>
            </w:r>
          </w:p>
        </w:tc>
      </w:tr>
    </w:tbl>
    <w:p>
      <w:pPr>
        <w:pStyle w:val="2"/>
        <w:ind w:firstLine="0" w:firstLineChars="0"/>
        <w:rPr>
          <w:rFonts w:ascii="楷体_GB2312" w:hAnsi="楷体" w:eastAsia="楷体_GB2312"/>
          <w:sz w:val="32"/>
          <w:szCs w:val="32"/>
        </w:rPr>
      </w:pPr>
    </w:p>
    <w:p>
      <w:pPr>
        <w:pStyle w:val="2"/>
        <w:ind w:firstLine="0" w:firstLineChars="0"/>
        <w:jc w:val="right"/>
        <w:rPr>
          <w:rFonts w:ascii="楷体_GB2312" w:hAnsi="楷体" w:eastAsia="楷体_GB2312"/>
          <w:sz w:val="32"/>
          <w:szCs w:val="32"/>
        </w:rPr>
      </w:pPr>
      <w:r>
        <w:rPr>
          <w:rFonts w:hint="eastAsia" w:ascii="楷体_GB2312" w:hAnsi="楷体" w:eastAsia="楷体_GB2312"/>
          <w:sz w:val="32"/>
          <w:szCs w:val="32"/>
        </w:rPr>
        <w:t xml:space="preserve">   单位名称（公章）：</w:t>
      </w:r>
    </w:p>
    <w:p>
      <w:pPr>
        <w:pStyle w:val="2"/>
        <w:ind w:firstLine="0" w:firstLineChars="0"/>
        <w:jc w:val="right"/>
        <w:rPr>
          <w:rFonts w:ascii="楷体_GB2312" w:hAnsi="楷体" w:eastAsia="楷体_GB2312"/>
          <w:sz w:val="32"/>
          <w:szCs w:val="32"/>
        </w:rPr>
      </w:pPr>
      <w:r>
        <w:rPr>
          <w:rFonts w:hint="eastAsia" w:ascii="楷体_GB2312" w:hAnsi="楷体" w:eastAsia="楷体_GB2312"/>
          <w:sz w:val="32"/>
          <w:szCs w:val="32"/>
        </w:rPr>
        <w:t>法定代表人（签名或盖章）：</w:t>
      </w:r>
    </w:p>
    <w:p>
      <w:pPr>
        <w:pStyle w:val="2"/>
        <w:ind w:firstLine="0" w:firstLineChars="0"/>
        <w:jc w:val="right"/>
        <w:rPr>
          <w:rFonts w:ascii="楷体_GB2312" w:hAnsi="楷体" w:eastAsia="楷体_GB2312"/>
          <w:sz w:val="32"/>
          <w:szCs w:val="32"/>
        </w:rPr>
        <w:sectPr>
          <w:pgSz w:w="16838" w:h="11906" w:orient="landscape"/>
          <w:pgMar w:top="1134" w:right="1134" w:bottom="1134" w:left="1134" w:header="851" w:footer="992" w:gutter="0"/>
          <w:cols w:space="720" w:num="1"/>
          <w:docGrid w:linePitch="312" w:charSpace="0"/>
        </w:sectPr>
      </w:pPr>
      <w:r>
        <w:rPr>
          <w:rFonts w:hint="eastAsia" w:ascii="楷体_GB2312" w:hAnsi="楷体" w:eastAsia="楷体_GB2312"/>
          <w:sz w:val="32"/>
          <w:szCs w:val="32"/>
        </w:rPr>
        <w:t xml:space="preserve">                             日   期：    年   月   日</w:t>
      </w:r>
    </w:p>
    <w:p>
      <w:pPr>
        <w:pStyle w:val="2"/>
        <w:ind w:firstLine="210"/>
      </w:pPr>
    </w:p>
    <w:p>
      <w:pPr>
        <w:snapToGrid w:val="0"/>
        <w:spacing w:line="400" w:lineRule="exact"/>
        <w:ind w:firstLine="480"/>
        <w:rPr>
          <w:rFonts w:ascii="楷体" w:hAnsi="楷体" w:eastAsia="楷体" w:cs="楷体"/>
          <w:sz w:val="24"/>
        </w:rPr>
      </w:pPr>
      <w:r>
        <w:rPr>
          <w:rFonts w:hint="eastAsia" w:ascii="楷体" w:hAnsi="楷体" w:eastAsia="楷体" w:cs="楷体"/>
          <w:sz w:val="24"/>
        </w:rPr>
        <w:t>注：</w:t>
      </w:r>
    </w:p>
    <w:p>
      <w:pPr>
        <w:snapToGrid w:val="0"/>
        <w:spacing w:line="400" w:lineRule="exact"/>
        <w:ind w:firstLine="480"/>
        <w:rPr>
          <w:rFonts w:ascii="楷体" w:hAnsi="楷体" w:eastAsia="楷体" w:cs="楷体"/>
          <w:sz w:val="24"/>
        </w:rPr>
      </w:pPr>
      <w:r>
        <w:rPr>
          <w:rFonts w:hint="eastAsia" w:ascii="楷体" w:hAnsi="楷体" w:eastAsia="楷体" w:cs="楷体"/>
          <w:sz w:val="24"/>
        </w:rPr>
        <w:t>1、综合单价为全费用单价，包含但不限于：制作、采购、运输、装卸、安装（包括所有措施费）、调试、质保期内维护费用、对业主人员的技术培训、费税、合同风险等所有费用；</w:t>
      </w:r>
    </w:p>
    <w:p>
      <w:pPr>
        <w:snapToGrid w:val="0"/>
        <w:spacing w:line="400" w:lineRule="exact"/>
        <w:ind w:firstLine="480"/>
        <w:rPr>
          <w:rFonts w:ascii="楷体" w:hAnsi="楷体" w:eastAsia="楷体" w:cs="楷体"/>
          <w:sz w:val="24"/>
        </w:rPr>
      </w:pPr>
      <w:r>
        <w:rPr>
          <w:rFonts w:hint="eastAsia" w:ascii="楷体" w:hAnsi="楷体" w:eastAsia="楷体" w:cs="楷体"/>
          <w:sz w:val="24"/>
        </w:rPr>
        <w:t>2、上水、下水、电气系统均由校方安装至相应点位，施工单位负责现场接驳。具体数量按实际制作数量结算。</w:t>
      </w:r>
    </w:p>
    <w:p>
      <w:pPr>
        <w:widowControl/>
        <w:ind w:firstLine="482" w:firstLineChars="200"/>
        <w:jc w:val="left"/>
        <w:rPr>
          <w:rFonts w:ascii="楷体" w:hAnsi="楷体" w:eastAsia="楷体" w:cs="楷体"/>
          <w:b/>
          <w:sz w:val="24"/>
        </w:rPr>
      </w:pPr>
      <w:r>
        <w:rPr>
          <w:rFonts w:hint="eastAsia" w:ascii="楷体" w:hAnsi="楷体" w:eastAsia="楷体" w:cs="楷体"/>
          <w:b/>
          <w:sz w:val="24"/>
        </w:rPr>
        <w:t>二、有关说明：</w:t>
      </w:r>
    </w:p>
    <w:p>
      <w:pPr>
        <w:pStyle w:val="2"/>
        <w:ind w:firstLine="480" w:firstLineChars="200"/>
        <w:rPr>
          <w:rFonts w:ascii="楷体" w:hAnsi="楷体" w:eastAsia="楷体" w:cs="楷体"/>
          <w:sz w:val="24"/>
          <w:szCs w:val="24"/>
        </w:rPr>
      </w:pPr>
      <w:r>
        <w:rPr>
          <w:rFonts w:hint="eastAsia" w:ascii="楷体" w:hAnsi="楷体" w:eastAsia="楷体" w:cs="楷体"/>
          <w:sz w:val="24"/>
          <w:szCs w:val="24"/>
        </w:rPr>
        <w:t>1、询价文件中提供材料（设备）推荐品牌（或规格、型号、产地）的，可以在备选品牌（或规格、型号、产地）范围内自行选择一款并根据市场行情及自身实际情况进行报价；未提供备选品牌的，报价人应根据清单及设计文件要求确定品牌后，根据市场行情及自身实际情况进行报价。报价单位拟在备选品牌（或规格、型号、产地）外自行选择品牌，自选品牌应在性能、价格、技术指标、技术参数等方面均不低于备选品牌，并在询价截止时间前以书面形式提出（</w:t>
      </w:r>
      <w:r>
        <w:rPr>
          <w:rFonts w:hint="eastAsia" w:ascii="楷体" w:hAnsi="楷体" w:eastAsia="楷体" w:cs="楷体"/>
          <w:sz w:val="24"/>
          <w:szCs w:val="24"/>
          <w:highlight w:val="yellow"/>
        </w:rPr>
        <w:t>截止日期为2021年05月</w:t>
      </w:r>
      <w:r>
        <w:rPr>
          <w:rFonts w:hint="eastAsia" w:ascii="楷体" w:hAnsi="楷体" w:eastAsia="楷体" w:cs="楷体"/>
          <w:sz w:val="24"/>
          <w:szCs w:val="24"/>
          <w:highlight w:val="yellow"/>
          <w:lang w:val="en-US" w:eastAsia="zh-CN"/>
        </w:rPr>
        <w:t>12</w:t>
      </w:r>
      <w:r>
        <w:rPr>
          <w:rFonts w:hint="eastAsia" w:ascii="楷体" w:hAnsi="楷体" w:eastAsia="楷体" w:cs="楷体"/>
          <w:sz w:val="24"/>
          <w:szCs w:val="24"/>
          <w:highlight w:val="yellow"/>
        </w:rPr>
        <w:t>日下午17:00</w:t>
      </w:r>
      <w:r>
        <w:rPr>
          <w:rFonts w:hint="eastAsia" w:ascii="楷体" w:hAnsi="楷体" w:eastAsia="楷体" w:cs="楷体"/>
          <w:sz w:val="24"/>
          <w:szCs w:val="24"/>
        </w:rPr>
        <w:t>），并同时提交该品牌材料（设备）在品牌、信誉度、质量、性能、技术指标等方面不低于采购人推荐品牌的相关证明材料，采购人认为合理的（必要时组织专家论证），将以书面方式同意增加可选品牌，没有得到采购人书面认可的品牌一律不予接受，其相应的响应文件将视为未能对本询价文件作出实质性响应，将会判为报价无效</w:t>
      </w:r>
      <w:bookmarkStart w:id="11" w:name="_GoBack"/>
      <w:bookmarkEnd w:id="11"/>
    </w:p>
    <w:p>
      <w:pPr>
        <w:snapToGrid w:val="0"/>
        <w:spacing w:line="400" w:lineRule="exact"/>
        <w:ind w:firstLine="480"/>
        <w:rPr>
          <w:rFonts w:ascii="楷体" w:hAnsi="楷体" w:eastAsia="楷体" w:cs="楷体"/>
          <w:sz w:val="24"/>
        </w:rPr>
      </w:pPr>
      <w:r>
        <w:rPr>
          <w:rFonts w:hint="eastAsia" w:ascii="楷体" w:hAnsi="楷体" w:eastAsia="楷体" w:cs="楷体"/>
          <w:sz w:val="24"/>
        </w:rPr>
        <w:t>2、供方应保证提供的厨房设备及其附件、备品备件是全新的、先进的、成熟的、完整的和安全可靠的、且设备的性能和技术参数必须符合技术文件的规定。</w:t>
      </w:r>
    </w:p>
    <w:p>
      <w:pPr>
        <w:snapToGrid w:val="0"/>
        <w:spacing w:line="400" w:lineRule="exact"/>
        <w:ind w:firstLine="480"/>
        <w:rPr>
          <w:rFonts w:ascii="楷体" w:hAnsi="楷体" w:eastAsia="楷体" w:cs="楷体"/>
          <w:sz w:val="24"/>
        </w:rPr>
      </w:pPr>
      <w:r>
        <w:rPr>
          <w:rFonts w:hint="eastAsia" w:ascii="楷体" w:hAnsi="楷体" w:eastAsia="楷体" w:cs="楷体"/>
          <w:sz w:val="24"/>
        </w:rPr>
        <w:t>3、质量保证：必须提供全新的、</w:t>
      </w:r>
      <w:r>
        <w:rPr>
          <w:rFonts w:hint="eastAsia" w:ascii="楷体" w:hAnsi="楷体" w:eastAsia="楷体" w:cs="楷体"/>
          <w:b/>
          <w:bCs/>
          <w:sz w:val="24"/>
          <w:u w:val="single"/>
        </w:rPr>
        <w:t>符合国家相关质量标准及规范要求的设备及服务，设备、配件如有国家强制性标准必须符合国家强制性标准</w:t>
      </w:r>
      <w:r>
        <w:rPr>
          <w:rFonts w:hint="eastAsia" w:ascii="楷体" w:hAnsi="楷体" w:eastAsia="楷体" w:cs="楷体"/>
          <w:sz w:val="24"/>
        </w:rPr>
        <w:t>。否则，招标人有权要求中标人退货、退场，所发生的一切费用均由中标人承担。</w:t>
      </w:r>
    </w:p>
    <w:p>
      <w:pPr>
        <w:snapToGrid w:val="0"/>
        <w:spacing w:line="400" w:lineRule="exact"/>
        <w:ind w:firstLine="480"/>
        <w:rPr>
          <w:rFonts w:ascii="楷体" w:hAnsi="楷体" w:eastAsia="楷体" w:cs="楷体"/>
          <w:sz w:val="24"/>
        </w:rPr>
      </w:pPr>
      <w:r>
        <w:rPr>
          <w:rFonts w:hint="eastAsia" w:ascii="楷体" w:hAnsi="楷体" w:eastAsia="楷体" w:cs="楷体"/>
          <w:sz w:val="24"/>
        </w:rPr>
        <w:t>4、有关投标报价的几点说明：</w:t>
      </w:r>
    </w:p>
    <w:p>
      <w:pPr>
        <w:snapToGrid w:val="0"/>
        <w:spacing w:line="400" w:lineRule="exact"/>
        <w:ind w:firstLine="480"/>
        <w:rPr>
          <w:rFonts w:ascii="楷体" w:hAnsi="楷体" w:eastAsia="楷体" w:cs="楷体"/>
          <w:sz w:val="24"/>
        </w:rPr>
      </w:pPr>
      <w:r>
        <w:rPr>
          <w:rFonts w:hint="eastAsia" w:ascii="楷体" w:hAnsi="楷体" w:eastAsia="楷体" w:cs="楷体"/>
          <w:sz w:val="24"/>
        </w:rPr>
        <w:t>①设备报价：本项目投标报价应包括但不限于招标文件及其基本技术要求范围内相应设备制造前的准备（包括现场踏勘、技术核对等）、设备（包括备品备件、专用工具）、设计、制造、检验、包装、技术资料、发货、运输、装卸至现场指定地点、安装调试、技术指导培训、质保期及维保服务、供方应交纳的各项税款（增值税及其它税费）和招标文件所要求的相关服务等全部内容。</w:t>
      </w:r>
    </w:p>
    <w:p>
      <w:pPr>
        <w:snapToGrid w:val="0"/>
        <w:spacing w:line="400" w:lineRule="exact"/>
        <w:ind w:firstLine="480"/>
        <w:rPr>
          <w:rFonts w:ascii="楷体" w:hAnsi="楷体" w:eastAsia="楷体" w:cs="楷体"/>
          <w:sz w:val="24"/>
        </w:rPr>
      </w:pPr>
      <w:r>
        <w:rPr>
          <w:rFonts w:hint="eastAsia" w:ascii="楷体" w:hAnsi="楷体" w:eastAsia="楷体" w:cs="楷体"/>
          <w:sz w:val="24"/>
        </w:rPr>
        <w:t>②投标人需按照招标文件的要求提供报价单及详细附件材料，按要求注明名称、型号、规格和外形、尺寸、安装、调试等一些必须说明的技术参数，以及使用的材料清单，同时明确生产厂家、型号规格等，并提供详细的技术参数及性能说明书。</w:t>
      </w:r>
    </w:p>
    <w:p>
      <w:pPr>
        <w:snapToGrid w:val="0"/>
        <w:spacing w:line="400" w:lineRule="exact"/>
        <w:ind w:firstLine="480"/>
        <w:rPr>
          <w:rFonts w:ascii="楷体" w:hAnsi="楷体" w:eastAsia="楷体" w:cs="楷体"/>
          <w:sz w:val="24"/>
        </w:rPr>
      </w:pPr>
      <w:r>
        <w:rPr>
          <w:rFonts w:hint="eastAsia" w:ascii="楷体" w:hAnsi="楷体" w:eastAsia="楷体" w:cs="楷体"/>
          <w:sz w:val="24"/>
        </w:rPr>
        <w:t>③投标人必须承诺招标文件中提出的全部技术规格与要求，不得低于本技术要求，如果其中某些条款不响应时，应在文件中逐条列出，未列出的视同响应。</w:t>
      </w:r>
    </w:p>
    <w:p>
      <w:pPr>
        <w:snapToGrid w:val="0"/>
        <w:spacing w:line="400" w:lineRule="exact"/>
        <w:ind w:firstLine="480"/>
        <w:rPr>
          <w:rFonts w:ascii="楷体" w:hAnsi="楷体" w:eastAsia="楷体" w:cs="楷体"/>
          <w:sz w:val="24"/>
        </w:rPr>
      </w:pPr>
      <w:r>
        <w:rPr>
          <w:rFonts w:hint="eastAsia" w:ascii="楷体" w:hAnsi="楷体" w:eastAsia="楷体" w:cs="楷体"/>
          <w:sz w:val="24"/>
        </w:rPr>
        <w:t>上述所有费用实行总价包干制，如招标人不提出功能改变则总价不变，并必须承诺不再追加其他费用。</w:t>
      </w:r>
    </w:p>
    <w:p>
      <w:pPr>
        <w:pStyle w:val="2"/>
        <w:ind w:firstLine="210"/>
      </w:pPr>
    </w:p>
    <w:p>
      <w:pPr>
        <w:snapToGrid w:val="0"/>
        <w:spacing w:line="400" w:lineRule="exact"/>
        <w:rPr>
          <w:rFonts w:ascii="楷体" w:hAnsi="楷体" w:eastAsia="楷体" w:cs="楷体"/>
          <w:b/>
          <w:sz w:val="24"/>
        </w:rPr>
      </w:pPr>
      <w:r>
        <w:rPr>
          <w:rFonts w:hint="eastAsia" w:ascii="楷体" w:hAnsi="楷体" w:eastAsia="楷体" w:cs="楷体"/>
          <w:b/>
          <w:sz w:val="24"/>
        </w:rPr>
        <w:t>三、技术标准</w:t>
      </w:r>
    </w:p>
    <w:p>
      <w:pPr>
        <w:snapToGrid w:val="0"/>
        <w:spacing w:line="400" w:lineRule="exact"/>
        <w:ind w:firstLine="480"/>
        <w:rPr>
          <w:rFonts w:ascii="楷体" w:hAnsi="楷体" w:eastAsia="楷体" w:cs="楷体"/>
          <w:b/>
          <w:sz w:val="24"/>
        </w:rPr>
      </w:pPr>
      <w:r>
        <w:rPr>
          <w:rFonts w:hint="eastAsia" w:ascii="楷体" w:hAnsi="楷体" w:eastAsia="楷体" w:cs="楷体"/>
          <w:b/>
          <w:sz w:val="24"/>
        </w:rPr>
        <w:t>技术规范</w:t>
      </w:r>
    </w:p>
    <w:p>
      <w:pPr>
        <w:snapToGrid w:val="0"/>
        <w:spacing w:line="400" w:lineRule="exact"/>
        <w:ind w:firstLine="566"/>
        <w:rPr>
          <w:rFonts w:ascii="楷体" w:hAnsi="楷体" w:eastAsia="楷体" w:cs="楷体"/>
          <w:b/>
          <w:sz w:val="24"/>
        </w:rPr>
      </w:pPr>
      <w:r>
        <w:rPr>
          <w:rFonts w:hint="eastAsia" w:ascii="楷体" w:hAnsi="楷体" w:eastAsia="楷体" w:cs="楷体"/>
          <w:b/>
          <w:sz w:val="24"/>
        </w:rPr>
        <w:t>1.</w:t>
      </w:r>
      <w:r>
        <w:rPr>
          <w:rFonts w:hint="eastAsia" w:ascii="楷体" w:hAnsi="楷体" w:eastAsia="楷体" w:cs="楷体"/>
          <w:b/>
          <w:sz w:val="24"/>
        </w:rPr>
        <w:tab/>
      </w:r>
      <w:r>
        <w:rPr>
          <w:rFonts w:hint="eastAsia" w:ascii="楷体" w:hAnsi="楷体" w:eastAsia="楷体" w:cs="楷体"/>
          <w:b/>
          <w:sz w:val="24"/>
        </w:rPr>
        <w:t>工料规范</w:t>
      </w:r>
    </w:p>
    <w:p>
      <w:pPr>
        <w:snapToGrid w:val="0"/>
        <w:spacing w:line="400" w:lineRule="exact"/>
        <w:ind w:firstLine="566"/>
        <w:rPr>
          <w:rFonts w:ascii="楷体" w:hAnsi="楷体" w:eastAsia="楷体" w:cs="楷体"/>
          <w:b/>
          <w:sz w:val="24"/>
        </w:rPr>
      </w:pPr>
      <w:r>
        <w:rPr>
          <w:rFonts w:hint="eastAsia" w:ascii="楷体" w:hAnsi="楷体" w:eastAsia="楷体" w:cs="楷体"/>
          <w:b/>
          <w:sz w:val="24"/>
        </w:rPr>
        <w:t>1.1.工作范围</w:t>
      </w:r>
    </w:p>
    <w:p>
      <w:pPr>
        <w:snapToGrid w:val="0"/>
        <w:spacing w:line="400" w:lineRule="exact"/>
        <w:ind w:firstLine="566"/>
        <w:rPr>
          <w:rFonts w:ascii="楷体" w:hAnsi="楷体" w:eastAsia="楷体" w:cs="楷体"/>
          <w:sz w:val="24"/>
        </w:rPr>
      </w:pPr>
      <w:r>
        <w:rPr>
          <w:rFonts w:hint="eastAsia" w:ascii="楷体" w:hAnsi="楷体" w:eastAsia="楷体" w:cs="楷体"/>
          <w:sz w:val="24"/>
        </w:rPr>
        <w:t>中标人需提供：</w:t>
      </w:r>
    </w:p>
    <w:p>
      <w:pPr>
        <w:snapToGrid w:val="0"/>
        <w:spacing w:line="400" w:lineRule="exact"/>
        <w:ind w:firstLine="566"/>
        <w:rPr>
          <w:rFonts w:ascii="楷体" w:hAnsi="楷体" w:eastAsia="楷体" w:cs="楷体"/>
          <w:sz w:val="24"/>
        </w:rPr>
      </w:pPr>
      <w:r>
        <w:rPr>
          <w:rFonts w:hint="eastAsia" w:ascii="楷体" w:hAnsi="楷体" w:eastAsia="楷体" w:cs="楷体"/>
          <w:sz w:val="24"/>
        </w:rPr>
        <w:t>1.1.1.根据招标文件，提供所有劳动力、材料、设备、服务、包装运输、安装调试等，包括在清单、文件上没有提及，但符合运行所要求的附件、及全套施工工艺图图纸。</w:t>
      </w:r>
    </w:p>
    <w:p>
      <w:pPr>
        <w:snapToGrid w:val="0"/>
        <w:spacing w:line="400" w:lineRule="exact"/>
        <w:ind w:firstLine="566"/>
        <w:rPr>
          <w:rFonts w:ascii="楷体" w:hAnsi="楷体" w:eastAsia="楷体" w:cs="楷体"/>
          <w:sz w:val="24"/>
        </w:rPr>
      </w:pPr>
      <w:r>
        <w:rPr>
          <w:rFonts w:hint="eastAsia" w:ascii="楷体" w:hAnsi="楷体" w:eastAsia="楷体" w:cs="楷体"/>
          <w:sz w:val="24"/>
        </w:rPr>
        <w:t>1.1.2.中标人清楚地意识到：实际尺寸必需按工地实际情况进行测量，所提供的设备必须符合现场的实际情况。</w:t>
      </w:r>
    </w:p>
    <w:p>
      <w:pPr>
        <w:snapToGrid w:val="0"/>
        <w:spacing w:line="400" w:lineRule="exact"/>
        <w:ind w:firstLine="566"/>
        <w:rPr>
          <w:rFonts w:ascii="楷体" w:hAnsi="楷体" w:eastAsia="楷体" w:cs="楷体"/>
          <w:sz w:val="24"/>
        </w:rPr>
      </w:pPr>
      <w:r>
        <w:rPr>
          <w:rFonts w:hint="eastAsia" w:ascii="楷体" w:hAnsi="楷体" w:eastAsia="楷体" w:cs="楷体"/>
          <w:sz w:val="24"/>
        </w:rPr>
        <w:t>1.1.3.招标文件的目的是显示整个厨房设备，中标人需提供准确及所需之标准配备，虽然文件中没有提及，但由于安全上或操作上有需要，则中标人仍需提供该配件而不能索取额外费用。</w:t>
      </w:r>
    </w:p>
    <w:p>
      <w:pPr>
        <w:snapToGrid w:val="0"/>
        <w:spacing w:line="400" w:lineRule="exact"/>
        <w:ind w:firstLine="566"/>
        <w:rPr>
          <w:rFonts w:ascii="楷体" w:hAnsi="楷体" w:eastAsia="楷体" w:cs="楷体"/>
          <w:b/>
          <w:sz w:val="24"/>
        </w:rPr>
      </w:pPr>
      <w:r>
        <w:rPr>
          <w:rFonts w:hint="eastAsia" w:ascii="楷体" w:hAnsi="楷体" w:eastAsia="楷体" w:cs="楷体"/>
          <w:b/>
          <w:sz w:val="24"/>
        </w:rPr>
        <w:t>1.2.</w:t>
      </w:r>
      <w:r>
        <w:rPr>
          <w:rFonts w:hint="eastAsia" w:ascii="楷体" w:hAnsi="楷体" w:eastAsia="楷体" w:cs="楷体"/>
          <w:b/>
          <w:sz w:val="24"/>
        </w:rPr>
        <w:tab/>
      </w:r>
      <w:r>
        <w:rPr>
          <w:rFonts w:hint="eastAsia" w:ascii="楷体" w:hAnsi="楷体" w:eastAsia="楷体" w:cs="楷体"/>
          <w:b/>
          <w:sz w:val="24"/>
        </w:rPr>
        <w:t>法规、规范</w:t>
      </w:r>
    </w:p>
    <w:p>
      <w:pPr>
        <w:snapToGrid w:val="0"/>
        <w:spacing w:line="400" w:lineRule="exact"/>
        <w:ind w:firstLine="566"/>
        <w:rPr>
          <w:rFonts w:ascii="楷体" w:hAnsi="楷体" w:eastAsia="楷体" w:cs="楷体"/>
          <w:sz w:val="24"/>
        </w:rPr>
      </w:pPr>
      <w:r>
        <w:rPr>
          <w:rFonts w:hint="eastAsia" w:ascii="楷体" w:hAnsi="楷体" w:eastAsia="楷体" w:cs="楷体"/>
          <w:sz w:val="24"/>
        </w:rPr>
        <w:t>1.2.1.所有施工及材料需要符合当地最新之法规及规范。</w:t>
      </w:r>
    </w:p>
    <w:p>
      <w:pPr>
        <w:snapToGrid w:val="0"/>
        <w:spacing w:line="400" w:lineRule="exact"/>
        <w:ind w:firstLine="566"/>
        <w:rPr>
          <w:rFonts w:ascii="楷体" w:hAnsi="楷体" w:eastAsia="楷体" w:cs="楷体"/>
          <w:sz w:val="24"/>
        </w:rPr>
      </w:pPr>
      <w:r>
        <w:rPr>
          <w:rFonts w:hint="eastAsia" w:ascii="楷体" w:hAnsi="楷体" w:eastAsia="楷体" w:cs="楷体"/>
          <w:sz w:val="24"/>
        </w:rPr>
        <w:t>1.2.2.有关之法规包括建筑规范，环保、卫生防疫、燃气或其它有关的法规。</w:t>
      </w:r>
    </w:p>
    <w:p>
      <w:pPr>
        <w:snapToGrid w:val="0"/>
        <w:spacing w:line="400" w:lineRule="exact"/>
        <w:ind w:firstLine="566"/>
        <w:rPr>
          <w:rFonts w:ascii="楷体" w:hAnsi="楷体" w:eastAsia="楷体" w:cs="楷体"/>
          <w:sz w:val="24"/>
        </w:rPr>
      </w:pPr>
      <w:r>
        <w:rPr>
          <w:rFonts w:hint="eastAsia" w:ascii="楷体" w:hAnsi="楷体" w:eastAsia="楷体" w:cs="楷体"/>
          <w:sz w:val="24"/>
        </w:rPr>
        <w:t>1.2.3.用电设备或电热、蒸汽设备，需符合当地最新之标准。</w:t>
      </w:r>
    </w:p>
    <w:p>
      <w:pPr>
        <w:snapToGrid w:val="0"/>
        <w:spacing w:line="400" w:lineRule="exact"/>
        <w:ind w:firstLine="566"/>
        <w:rPr>
          <w:rFonts w:ascii="楷体" w:hAnsi="楷体" w:eastAsia="楷体" w:cs="楷体"/>
          <w:sz w:val="24"/>
        </w:rPr>
      </w:pPr>
      <w:r>
        <w:rPr>
          <w:rFonts w:hint="eastAsia" w:ascii="楷体" w:hAnsi="楷体" w:eastAsia="楷体" w:cs="楷体"/>
          <w:sz w:val="24"/>
        </w:rPr>
        <w:t>1.2.4.提供的设备规格，除需要符合招标的标准之外，还需符合法规上或规范所需的标准，或需高于该标准。</w:t>
      </w:r>
    </w:p>
    <w:p>
      <w:pPr>
        <w:snapToGrid w:val="0"/>
        <w:spacing w:line="400" w:lineRule="exact"/>
        <w:ind w:firstLine="566"/>
        <w:rPr>
          <w:rFonts w:ascii="楷体" w:hAnsi="楷体" w:eastAsia="楷体" w:cs="楷体"/>
          <w:sz w:val="24"/>
        </w:rPr>
      </w:pPr>
      <w:r>
        <w:rPr>
          <w:rFonts w:hint="eastAsia" w:ascii="楷体" w:hAnsi="楷体" w:eastAsia="楷体" w:cs="楷体"/>
          <w:sz w:val="24"/>
        </w:rPr>
        <w:t>1.2.5.由于法规或规范适时变更所需而需要使设备之标准高于招标规范内的标准时，中标人不得向定作方索取额外费用。</w:t>
      </w:r>
    </w:p>
    <w:p>
      <w:pPr>
        <w:rPr>
          <w:rFonts w:ascii="楷体" w:hAnsi="楷体" w:eastAsia="楷体" w:cs="楷体"/>
          <w:sz w:val="24"/>
        </w:rPr>
      </w:pPr>
    </w:p>
    <w:p>
      <w:pPr>
        <w:snapToGrid w:val="0"/>
        <w:spacing w:line="400" w:lineRule="exact"/>
        <w:rPr>
          <w:rFonts w:ascii="楷体" w:hAnsi="楷体" w:eastAsia="楷体" w:cs="楷体"/>
          <w:b/>
          <w:sz w:val="24"/>
        </w:rPr>
      </w:pPr>
      <w:r>
        <w:rPr>
          <w:rFonts w:hint="eastAsia" w:ascii="楷体" w:hAnsi="楷体" w:eastAsia="楷体" w:cs="楷体"/>
          <w:b/>
          <w:sz w:val="24"/>
        </w:rPr>
        <w:t xml:space="preserve">四、验收 </w:t>
      </w:r>
    </w:p>
    <w:p>
      <w:pPr>
        <w:snapToGrid w:val="0"/>
        <w:spacing w:line="400" w:lineRule="exact"/>
        <w:ind w:firstLine="480"/>
        <w:rPr>
          <w:rFonts w:ascii="楷体" w:hAnsi="楷体" w:eastAsia="楷体" w:cs="楷体"/>
          <w:sz w:val="24"/>
        </w:rPr>
      </w:pPr>
      <w:r>
        <w:rPr>
          <w:rFonts w:hint="eastAsia" w:ascii="楷体" w:hAnsi="楷体" w:eastAsia="楷体" w:cs="楷体"/>
          <w:sz w:val="24"/>
        </w:rPr>
        <w:t>1、投标人应在投标文件中提供一份项目验收方案，在采购人确认后作为采购人验收的依据。但此标准不得对抗质监部门的验收和招标文件中有关验收的条款要求。</w:t>
      </w:r>
    </w:p>
    <w:p>
      <w:pPr>
        <w:snapToGrid w:val="0"/>
        <w:spacing w:line="400" w:lineRule="exact"/>
        <w:ind w:firstLine="480"/>
        <w:rPr>
          <w:rFonts w:ascii="楷体" w:hAnsi="楷体" w:eastAsia="楷体" w:cs="楷体"/>
          <w:sz w:val="24"/>
        </w:rPr>
      </w:pPr>
      <w:r>
        <w:rPr>
          <w:rFonts w:hint="eastAsia" w:ascii="楷体" w:hAnsi="楷体" w:eastAsia="楷体" w:cs="楷体"/>
          <w:sz w:val="24"/>
        </w:rPr>
        <w:t>2、供方需提供质保书、保修证明等书面资料，货号须与招标文件相符，并按国家制造和安装的标准要求检测验收。另外如双方对验收结果有分歧，则以常州市技术监督局的检验结果为准，检验费由成交单位负责。</w:t>
      </w:r>
    </w:p>
    <w:p>
      <w:pPr>
        <w:snapToGrid w:val="0"/>
        <w:spacing w:line="400" w:lineRule="exact"/>
        <w:ind w:firstLine="480"/>
        <w:rPr>
          <w:rFonts w:ascii="楷体" w:hAnsi="楷体" w:eastAsia="楷体" w:cs="楷体"/>
          <w:sz w:val="24"/>
        </w:rPr>
      </w:pPr>
      <w:r>
        <w:rPr>
          <w:rFonts w:hint="eastAsia" w:ascii="楷体" w:hAnsi="楷体" w:eastAsia="楷体" w:cs="楷体"/>
          <w:sz w:val="24"/>
        </w:rPr>
        <w:t>3、在设备性能测试和试运行期间所暴露的问题获得买方满意的解决。</w:t>
      </w:r>
    </w:p>
    <w:p>
      <w:pPr>
        <w:snapToGrid w:val="0"/>
        <w:spacing w:line="400" w:lineRule="exact"/>
        <w:ind w:firstLine="480"/>
        <w:rPr>
          <w:rFonts w:ascii="楷体" w:hAnsi="楷体" w:eastAsia="楷体" w:cs="楷体"/>
          <w:sz w:val="24"/>
        </w:rPr>
      </w:pPr>
      <w:r>
        <w:rPr>
          <w:rFonts w:hint="eastAsia" w:ascii="楷体" w:hAnsi="楷体" w:eastAsia="楷体" w:cs="楷体"/>
          <w:sz w:val="24"/>
        </w:rPr>
        <w:t>4、技术规范要求中提到的技术资料、工具、备件等按规定的数量移交。</w:t>
      </w:r>
    </w:p>
    <w:p>
      <w:pPr>
        <w:snapToGrid w:val="0"/>
        <w:spacing w:line="400" w:lineRule="exact"/>
        <w:rPr>
          <w:rFonts w:ascii="楷体" w:hAnsi="楷体" w:eastAsia="楷体" w:cs="楷体"/>
          <w:b/>
          <w:sz w:val="24"/>
        </w:rPr>
      </w:pPr>
      <w:r>
        <w:rPr>
          <w:rFonts w:hint="eastAsia" w:ascii="楷体" w:hAnsi="楷体" w:eastAsia="楷体" w:cs="楷体"/>
          <w:b/>
          <w:sz w:val="24"/>
        </w:rPr>
        <w:t>五、安装及售后服务要求：</w:t>
      </w:r>
    </w:p>
    <w:p>
      <w:pPr>
        <w:snapToGrid w:val="0"/>
        <w:spacing w:line="400" w:lineRule="exact"/>
        <w:ind w:firstLine="480"/>
        <w:rPr>
          <w:rFonts w:ascii="楷体" w:hAnsi="楷体" w:eastAsia="楷体" w:cs="楷体"/>
          <w:sz w:val="24"/>
        </w:rPr>
      </w:pPr>
      <w:r>
        <w:rPr>
          <w:rFonts w:hint="eastAsia" w:ascii="楷体" w:hAnsi="楷体" w:eastAsia="楷体" w:cs="楷体"/>
          <w:b/>
          <w:bCs/>
          <w:sz w:val="24"/>
          <w:u w:val="single"/>
        </w:rPr>
        <w:t>1、</w:t>
      </w:r>
      <w:r>
        <w:rPr>
          <w:rFonts w:hint="eastAsia" w:ascii="楷体" w:hAnsi="楷体" w:eastAsia="楷体" w:cs="楷体"/>
          <w:b/>
          <w:sz w:val="24"/>
        </w:rPr>
        <w:t>※</w:t>
      </w:r>
      <w:r>
        <w:rPr>
          <w:rFonts w:hint="eastAsia" w:ascii="楷体" w:hAnsi="楷体" w:eastAsia="楷体" w:cs="楷体"/>
          <w:b/>
          <w:bCs/>
          <w:sz w:val="24"/>
          <w:u w:val="single"/>
        </w:rPr>
        <w:t>自验收合格之日起提供3年（包括外购产品）免费质保。</w:t>
      </w:r>
    </w:p>
    <w:p>
      <w:pPr>
        <w:snapToGrid w:val="0"/>
        <w:spacing w:line="400" w:lineRule="exact"/>
        <w:ind w:firstLine="480"/>
        <w:rPr>
          <w:rFonts w:ascii="楷体" w:hAnsi="楷体" w:eastAsia="楷体" w:cs="楷体"/>
          <w:b/>
          <w:bCs/>
          <w:sz w:val="24"/>
        </w:rPr>
      </w:pPr>
      <w:r>
        <w:rPr>
          <w:rFonts w:hint="eastAsia" w:ascii="楷体" w:hAnsi="楷体" w:eastAsia="楷体" w:cs="楷体"/>
          <w:b/>
          <w:bCs/>
          <w:sz w:val="24"/>
        </w:rPr>
        <w:t>2、详细说明质保方案，及质保期满后的服务承诺；质保时间、内容须明确无误，是包换还是保修，是免费更换还是有偿更换。服务时间的承诺：须明确响应供货的时间要求。</w:t>
      </w:r>
    </w:p>
    <w:p>
      <w:pPr>
        <w:snapToGrid w:val="0"/>
        <w:spacing w:line="400" w:lineRule="exact"/>
        <w:ind w:firstLine="480"/>
        <w:rPr>
          <w:rFonts w:ascii="楷体" w:hAnsi="楷体" w:eastAsia="楷体" w:cs="楷体"/>
          <w:b/>
          <w:bCs/>
          <w:sz w:val="24"/>
        </w:rPr>
      </w:pPr>
      <w:r>
        <w:rPr>
          <w:rFonts w:hint="eastAsia" w:ascii="楷体" w:hAnsi="楷体" w:eastAsia="楷体" w:cs="楷体"/>
          <w:b/>
          <w:bCs/>
          <w:sz w:val="24"/>
        </w:rPr>
        <w:t>3、中标人所提供的货物开箱后，如使用方发现有任何问题（如外观有损伤），中标人必须立即以同样型号的设备在使用方商定的时间内更换，确保其使用。</w:t>
      </w:r>
    </w:p>
    <w:p>
      <w:pPr>
        <w:snapToGrid w:val="0"/>
        <w:spacing w:line="400" w:lineRule="exact"/>
        <w:ind w:firstLine="480"/>
        <w:rPr>
          <w:rFonts w:ascii="楷体" w:hAnsi="楷体" w:eastAsia="楷体" w:cs="楷体"/>
          <w:b/>
          <w:bCs/>
          <w:sz w:val="24"/>
        </w:rPr>
      </w:pPr>
      <w:r>
        <w:rPr>
          <w:rFonts w:hint="eastAsia" w:ascii="楷体" w:hAnsi="楷体" w:eastAsia="楷体" w:cs="楷体"/>
          <w:b/>
          <w:bCs/>
          <w:sz w:val="24"/>
        </w:rPr>
        <w:t>4、提供长期技术支持和维修服务，接到用户维修通知后，2小时内响应、3小时内到达指定现场进行维修。免费更换一切在正常情况下损坏的零配件，每年提供两次免费上门巡检服务。如需更换设备或送修，必须在24小时内负责解决，且更换维修期间须提供备用设备以保证系统的正常运行。免费质保期内，如在以上规定时间内乙方不能及时完成维修任务，甲方有权指定第三方进行维修，费用按照与第三方发生的实际费用从乙方预留款中扣除。</w:t>
      </w:r>
    </w:p>
    <w:p>
      <w:pPr>
        <w:snapToGrid w:val="0"/>
        <w:spacing w:line="400" w:lineRule="exact"/>
        <w:ind w:firstLine="480"/>
        <w:rPr>
          <w:rFonts w:ascii="楷体" w:hAnsi="楷体" w:eastAsia="楷体" w:cs="楷体"/>
          <w:sz w:val="24"/>
        </w:rPr>
      </w:pPr>
      <w:r>
        <w:rPr>
          <w:rFonts w:hint="eastAsia" w:ascii="楷体" w:hAnsi="楷体" w:eastAsia="楷体" w:cs="楷体"/>
          <w:sz w:val="24"/>
        </w:rPr>
        <w:t>5、在货物的设计使用寿命周期内，报价单位应能保证使用方更换到原厂正宗的备件材料，确保设备的正常使用。</w:t>
      </w:r>
    </w:p>
    <w:p>
      <w:pPr>
        <w:snapToGrid w:val="0"/>
        <w:spacing w:line="400" w:lineRule="exact"/>
        <w:ind w:firstLine="480"/>
        <w:rPr>
          <w:rFonts w:ascii="楷体" w:hAnsi="楷体" w:eastAsia="楷体" w:cs="楷体"/>
          <w:sz w:val="24"/>
        </w:rPr>
      </w:pPr>
      <w:r>
        <w:rPr>
          <w:rFonts w:hint="eastAsia" w:ascii="楷体" w:hAnsi="楷体" w:eastAsia="楷体" w:cs="楷体"/>
          <w:sz w:val="24"/>
        </w:rPr>
        <w:t>6、所有货物须满足国家及行业环保和质量标准。</w:t>
      </w:r>
    </w:p>
    <w:p>
      <w:pPr>
        <w:snapToGrid w:val="0"/>
        <w:spacing w:line="400" w:lineRule="exact"/>
        <w:ind w:firstLine="480"/>
        <w:rPr>
          <w:rFonts w:ascii="楷体" w:hAnsi="楷体" w:eastAsia="楷体" w:cs="楷体"/>
          <w:sz w:val="24"/>
        </w:rPr>
      </w:pPr>
      <w:r>
        <w:rPr>
          <w:rFonts w:hint="eastAsia" w:ascii="楷体" w:hAnsi="楷体" w:eastAsia="楷体" w:cs="楷体"/>
          <w:sz w:val="24"/>
        </w:rPr>
        <w:t>7、免费质保期后：供方负责设备的终身维修及零配件的及时供应。维修费先修理后付款，零配件的购买先交货后付款。</w:t>
      </w:r>
    </w:p>
    <w:p>
      <w:pPr>
        <w:snapToGrid w:val="0"/>
        <w:spacing w:line="400" w:lineRule="exact"/>
        <w:ind w:firstLine="480"/>
        <w:rPr>
          <w:rFonts w:ascii="楷体" w:hAnsi="楷体" w:eastAsia="楷体" w:cs="楷体"/>
          <w:sz w:val="24"/>
        </w:rPr>
      </w:pPr>
      <w:r>
        <w:rPr>
          <w:rFonts w:hint="eastAsia" w:ascii="楷体" w:hAnsi="楷体" w:eastAsia="楷体" w:cs="楷体"/>
          <w:sz w:val="24"/>
        </w:rPr>
        <w:t>8、供方负责在设备的安装现场免费培训需方的技术人员，达到上岗水平。</w:t>
      </w:r>
    </w:p>
    <w:p>
      <w:pPr>
        <w:snapToGrid w:val="0"/>
        <w:spacing w:line="400" w:lineRule="exact"/>
        <w:ind w:firstLine="480" w:firstLineChars="200"/>
        <w:rPr>
          <w:rFonts w:ascii="楷体" w:hAnsi="楷体" w:eastAsia="楷体" w:cs="楷体"/>
          <w:sz w:val="24"/>
        </w:rPr>
      </w:pPr>
      <w:r>
        <w:rPr>
          <w:rFonts w:hint="eastAsia" w:ascii="楷体" w:hAnsi="楷体" w:eastAsia="楷体" w:cs="楷体"/>
          <w:sz w:val="24"/>
        </w:rPr>
        <w:t>9、质量要求：合格标准。</w:t>
      </w:r>
    </w:p>
    <w:p>
      <w:pPr>
        <w:snapToGrid w:val="0"/>
        <w:spacing w:line="400" w:lineRule="exact"/>
      </w:pPr>
      <w:r>
        <w:rPr>
          <w:rFonts w:hint="eastAsia" w:ascii="楷体" w:hAnsi="楷体" w:eastAsia="楷体" w:cs="楷体"/>
          <w:b/>
          <w:sz w:val="24"/>
        </w:rPr>
        <w:t>六</w:t>
      </w:r>
      <w:r>
        <w:rPr>
          <w:rFonts w:hint="eastAsia" w:ascii="楷体" w:hAnsi="楷体" w:eastAsia="楷体" w:cs="楷体"/>
          <w:sz w:val="24"/>
        </w:rPr>
        <w:t>、</w:t>
      </w:r>
      <w:r>
        <w:rPr>
          <w:rFonts w:hint="eastAsia" w:ascii="楷体" w:hAnsi="楷体" w:eastAsia="楷体" w:cs="楷体"/>
          <w:b/>
          <w:sz w:val="24"/>
        </w:rPr>
        <w:t>交货时间：</w:t>
      </w:r>
      <w:r>
        <w:rPr>
          <w:rFonts w:hint="eastAsia" w:ascii="楷体" w:hAnsi="楷体" w:eastAsia="楷体" w:cs="楷体"/>
          <w:sz w:val="24"/>
        </w:rPr>
        <w:t>合同签订后30个日历天内将所有厨房设备送至采购人指定地点并安装调试到位并验收合格。</w:t>
      </w:r>
    </w:p>
    <w:p>
      <w:pPr>
        <w:snapToGrid w:val="0"/>
        <w:spacing w:line="400" w:lineRule="exact"/>
        <w:rPr>
          <w:rFonts w:ascii="楷体" w:hAnsi="楷体" w:eastAsia="楷体" w:cs="楷体"/>
          <w:b/>
          <w:sz w:val="24"/>
          <w:lang w:val="zh-CN"/>
        </w:rPr>
      </w:pPr>
      <w:r>
        <w:rPr>
          <w:rFonts w:hint="eastAsia" w:ascii="楷体" w:hAnsi="楷体" w:eastAsia="楷体" w:cs="楷体"/>
          <w:b/>
          <w:sz w:val="24"/>
        </w:rPr>
        <w:t>七、付款方式：</w:t>
      </w:r>
      <w:r>
        <w:rPr>
          <w:rFonts w:hint="eastAsia" w:ascii="楷体" w:hAnsi="楷体" w:eastAsia="楷体" w:cs="楷体"/>
          <w:bCs/>
          <w:sz w:val="24"/>
          <w:lang w:val="zh-CN"/>
        </w:rPr>
        <w:t>在货物交付并通过采购单位验收合格后10个工作日内支付至该批货物款项的90%，余款在</w:t>
      </w:r>
      <w:r>
        <w:rPr>
          <w:rFonts w:hint="eastAsia" w:ascii="楷体" w:hAnsi="楷体" w:eastAsia="楷体" w:cs="楷体"/>
          <w:bCs/>
          <w:sz w:val="24"/>
        </w:rPr>
        <w:t>3</w:t>
      </w:r>
      <w:r>
        <w:rPr>
          <w:rFonts w:hint="eastAsia" w:ascii="楷体" w:hAnsi="楷体" w:eastAsia="楷体" w:cs="楷体"/>
          <w:bCs/>
          <w:sz w:val="24"/>
          <w:lang w:val="zh-CN"/>
        </w:rPr>
        <w:t>年质保期满后十个工作日内支付（无息）。</w:t>
      </w:r>
    </w:p>
    <w:p>
      <w:pPr>
        <w:spacing w:line="400" w:lineRule="exact"/>
        <w:ind w:firstLine="480" w:firstLineChars="200"/>
        <w:jc w:val="left"/>
        <w:rPr>
          <w:rFonts w:ascii="楷体_GB2312" w:hAnsi="楷体_GB2312" w:eastAsia="楷体_GB2312"/>
          <w:bCs/>
          <w:sz w:val="24"/>
        </w:rPr>
      </w:pPr>
      <w:r>
        <w:rPr>
          <w:rFonts w:hint="eastAsia" w:ascii="楷体_GB2312" w:hAnsi="楷体_GB2312" w:eastAsia="楷体_GB2312"/>
          <w:bCs/>
          <w:sz w:val="24"/>
        </w:rPr>
        <w:t>注意事项：</w:t>
      </w:r>
    </w:p>
    <w:p>
      <w:pPr>
        <w:pStyle w:val="3"/>
        <w:spacing w:line="360" w:lineRule="exact"/>
        <w:ind w:firstLine="482" w:firstLineChars="200"/>
        <w:rPr>
          <w:rFonts w:ascii="楷体" w:hAnsi="楷体" w:eastAsia="楷体"/>
          <w:b/>
          <w:bCs/>
          <w:sz w:val="24"/>
        </w:rPr>
      </w:pPr>
      <w:r>
        <w:rPr>
          <w:rFonts w:hint="eastAsia" w:ascii="楷体" w:hAnsi="楷体" w:eastAsia="楷体"/>
          <w:b/>
          <w:bCs/>
          <w:sz w:val="24"/>
        </w:rPr>
        <w:t>1、对不允许偏离的实质性要求和条件，以“※”号等明目方式标注。</w:t>
      </w:r>
    </w:p>
    <w:p>
      <w:pPr>
        <w:jc w:val="center"/>
        <w:rPr>
          <w:rFonts w:ascii="宋体" w:hAnsi="宋体"/>
          <w:sz w:val="24"/>
        </w:rPr>
      </w:pPr>
    </w:p>
    <w:p>
      <w:pPr>
        <w:jc w:val="center"/>
        <w:rPr>
          <w:rFonts w:ascii="宋体" w:hAnsi="宋体"/>
          <w:sz w:val="24"/>
        </w:rPr>
      </w:pPr>
    </w:p>
    <w:p>
      <w:pPr>
        <w:jc w:val="center"/>
        <w:rPr>
          <w:rFonts w:ascii="宋体" w:hAnsi="宋体"/>
          <w:sz w:val="24"/>
        </w:rPr>
      </w:pPr>
    </w:p>
    <w:p>
      <w:pPr>
        <w:jc w:val="center"/>
        <w:rPr>
          <w:rFonts w:ascii="宋体" w:hAnsi="宋体"/>
          <w:sz w:val="24"/>
        </w:rPr>
      </w:pPr>
    </w:p>
    <w:p>
      <w:pPr>
        <w:jc w:val="center"/>
        <w:rPr>
          <w:rFonts w:ascii="宋体" w:hAnsi="宋体"/>
          <w:sz w:val="24"/>
        </w:rPr>
      </w:pPr>
    </w:p>
    <w:p>
      <w:pPr>
        <w:rPr>
          <w:rFonts w:ascii="楷体_GB2312" w:hAnsi="宋体" w:eastAsia="楷体_GB2312"/>
          <w:b/>
          <w:bCs/>
          <w:sz w:val="30"/>
          <w:szCs w:val="30"/>
        </w:rPr>
      </w:pPr>
    </w:p>
    <w:p>
      <w:pPr>
        <w:jc w:val="center"/>
        <w:rPr>
          <w:rFonts w:ascii="楷体_GB2312" w:hAnsi="宋体" w:eastAsia="楷体_GB2312"/>
          <w:b/>
          <w:bCs/>
          <w:sz w:val="30"/>
          <w:szCs w:val="30"/>
        </w:rPr>
      </w:pPr>
    </w:p>
    <w:p>
      <w:pPr>
        <w:jc w:val="center"/>
        <w:rPr>
          <w:rFonts w:ascii="楷体_GB2312" w:hAnsi="宋体" w:eastAsia="楷体_GB2312"/>
          <w:b/>
          <w:bCs/>
          <w:sz w:val="30"/>
          <w:szCs w:val="30"/>
        </w:rPr>
      </w:pPr>
    </w:p>
    <w:p>
      <w:pPr>
        <w:jc w:val="center"/>
        <w:rPr>
          <w:rFonts w:ascii="楷体_GB2312" w:hAnsi="宋体" w:eastAsia="楷体_GB2312"/>
          <w:b/>
          <w:bCs/>
          <w:sz w:val="30"/>
          <w:szCs w:val="30"/>
        </w:rPr>
      </w:pPr>
    </w:p>
    <w:p>
      <w:pPr>
        <w:jc w:val="center"/>
        <w:rPr>
          <w:rFonts w:ascii="楷体_GB2312" w:hAnsi="宋体" w:eastAsia="楷体_GB2312"/>
          <w:b/>
          <w:bCs/>
          <w:sz w:val="30"/>
          <w:szCs w:val="30"/>
        </w:rPr>
      </w:pPr>
    </w:p>
    <w:p>
      <w:pPr>
        <w:rPr>
          <w:rFonts w:ascii="楷体_GB2312" w:hAnsi="宋体" w:eastAsia="楷体_GB2312"/>
          <w:b/>
          <w:bCs/>
          <w:sz w:val="30"/>
          <w:szCs w:val="30"/>
        </w:rPr>
      </w:pPr>
      <w:r>
        <w:rPr>
          <w:rFonts w:hint="eastAsia" w:ascii="楷体_GB2312" w:hAnsi="宋体" w:eastAsia="楷体_GB2312"/>
          <w:b/>
          <w:bCs/>
          <w:sz w:val="30"/>
          <w:szCs w:val="30"/>
        </w:rPr>
        <w:br w:type="page"/>
      </w:r>
    </w:p>
    <w:p>
      <w:pPr>
        <w:jc w:val="center"/>
        <w:rPr>
          <w:rFonts w:ascii="楷体_GB2312" w:hAnsi="宋体" w:eastAsia="楷体_GB2312"/>
          <w:b/>
          <w:bCs/>
          <w:sz w:val="30"/>
          <w:szCs w:val="30"/>
        </w:rPr>
      </w:pPr>
      <w:r>
        <w:rPr>
          <w:rFonts w:hint="eastAsia" w:ascii="楷体_GB2312" w:hAnsi="宋体" w:eastAsia="楷体_GB2312"/>
          <w:b/>
          <w:bCs/>
          <w:sz w:val="30"/>
          <w:szCs w:val="30"/>
        </w:rPr>
        <w:t>第六章  响应文件的格式</w:t>
      </w:r>
    </w:p>
    <w:p>
      <w:pPr>
        <w:rPr>
          <w:rFonts w:ascii="楷体_GB2312" w:hAnsi="宋体" w:eastAsia="楷体_GB2312"/>
          <w:sz w:val="32"/>
          <w:szCs w:val="32"/>
        </w:rPr>
      </w:pPr>
    </w:p>
    <w:p>
      <w:pPr>
        <w:spacing w:line="480" w:lineRule="auto"/>
        <w:jc w:val="center"/>
        <w:rPr>
          <w:rFonts w:ascii="楷体_GB2312" w:hAnsi="宋体" w:eastAsia="楷体_GB2312" w:cs="宋体"/>
          <w:sz w:val="36"/>
          <w:szCs w:val="36"/>
          <w:u w:val="single"/>
        </w:rPr>
      </w:pPr>
      <w:r>
        <w:rPr>
          <w:rFonts w:hint="eastAsia" w:ascii="楷体_GB2312" w:hAnsi="宋体" w:eastAsia="楷体_GB2312" w:cs="宋体"/>
          <w:sz w:val="36"/>
          <w:szCs w:val="36"/>
          <w:u w:val="single"/>
        </w:rPr>
        <w:t xml:space="preserve">                            项目</w:t>
      </w:r>
    </w:p>
    <w:p>
      <w:pPr>
        <w:jc w:val="center"/>
        <w:rPr>
          <w:rFonts w:ascii="楷体_GB2312" w:hAnsi="宋体" w:eastAsia="楷体_GB2312" w:cs="宋体"/>
          <w:sz w:val="72"/>
          <w:szCs w:val="72"/>
        </w:rPr>
      </w:pPr>
      <w:r>
        <w:rPr>
          <w:rFonts w:hint="eastAsia" w:ascii="楷体_GB2312" w:hAnsi="宋体" w:eastAsia="楷体_GB2312" w:cs="宋体"/>
          <w:sz w:val="72"/>
          <w:szCs w:val="72"/>
        </w:rPr>
        <w:t>响</w:t>
      </w:r>
    </w:p>
    <w:p>
      <w:pPr>
        <w:jc w:val="center"/>
        <w:rPr>
          <w:rFonts w:ascii="楷体_GB2312" w:hAnsi="宋体" w:eastAsia="楷体_GB2312" w:cs="宋体"/>
          <w:sz w:val="72"/>
          <w:szCs w:val="72"/>
        </w:rPr>
      </w:pPr>
      <w:r>
        <w:rPr>
          <w:rFonts w:hint="eastAsia" w:ascii="楷体_GB2312" w:hAnsi="宋体" w:eastAsia="楷体_GB2312" w:cs="宋体"/>
          <w:sz w:val="72"/>
          <w:szCs w:val="72"/>
        </w:rPr>
        <w:t>应</w:t>
      </w:r>
    </w:p>
    <w:p>
      <w:pPr>
        <w:jc w:val="center"/>
        <w:rPr>
          <w:rFonts w:ascii="楷体_GB2312" w:hAnsi="宋体" w:eastAsia="楷体_GB2312" w:cs="宋体"/>
          <w:sz w:val="72"/>
          <w:szCs w:val="72"/>
        </w:rPr>
      </w:pPr>
      <w:r>
        <w:rPr>
          <w:rFonts w:hint="eastAsia" w:ascii="楷体_GB2312" w:hAnsi="宋体" w:eastAsia="楷体_GB2312" w:cs="宋体"/>
          <w:sz w:val="72"/>
          <w:szCs w:val="72"/>
        </w:rPr>
        <w:t>文</w:t>
      </w:r>
    </w:p>
    <w:p>
      <w:pPr>
        <w:jc w:val="center"/>
        <w:rPr>
          <w:rFonts w:ascii="楷体_GB2312" w:hAnsi="宋体" w:eastAsia="楷体_GB2312" w:cs="宋体"/>
          <w:sz w:val="72"/>
          <w:szCs w:val="72"/>
        </w:rPr>
      </w:pPr>
      <w:r>
        <w:rPr>
          <w:rFonts w:hint="eastAsia" w:ascii="楷体_GB2312" w:hAnsi="宋体" w:eastAsia="楷体_GB2312" w:cs="宋体"/>
          <w:sz w:val="72"/>
          <w:szCs w:val="72"/>
        </w:rPr>
        <w:t>件</w:t>
      </w:r>
    </w:p>
    <w:p>
      <w:pPr>
        <w:tabs>
          <w:tab w:val="left" w:pos="840"/>
          <w:tab w:val="left" w:pos="8280"/>
        </w:tabs>
        <w:spacing w:line="480" w:lineRule="auto"/>
        <w:ind w:firstLine="1185" w:firstLineChars="395"/>
        <w:rPr>
          <w:rFonts w:ascii="楷体_GB2312" w:hAnsi="宋体" w:eastAsia="楷体_GB2312" w:cs="宋体"/>
          <w:sz w:val="30"/>
        </w:rPr>
      </w:pPr>
      <w:r>
        <w:rPr>
          <w:rFonts w:hint="eastAsia" w:ascii="楷体_GB2312" w:hAnsi="宋体" w:eastAsia="楷体_GB2312" w:cs="宋体"/>
          <w:sz w:val="30"/>
        </w:rPr>
        <w:t>项目名称：</w:t>
      </w:r>
    </w:p>
    <w:p>
      <w:pPr>
        <w:tabs>
          <w:tab w:val="left" w:pos="840"/>
          <w:tab w:val="left" w:pos="8280"/>
        </w:tabs>
        <w:spacing w:line="480" w:lineRule="auto"/>
        <w:ind w:firstLine="1185" w:firstLineChars="395"/>
        <w:rPr>
          <w:rFonts w:ascii="楷体_GB2312" w:hAnsi="宋体" w:eastAsia="楷体_GB2312" w:cs="宋体"/>
          <w:sz w:val="30"/>
        </w:rPr>
      </w:pPr>
      <w:r>
        <w:rPr>
          <w:rFonts w:hint="eastAsia" w:ascii="楷体_GB2312" w:hAnsi="宋体" w:eastAsia="楷体_GB2312" w:cs="宋体"/>
          <w:sz w:val="30"/>
        </w:rPr>
        <w:t>项目编号：</w:t>
      </w:r>
    </w:p>
    <w:p>
      <w:pPr>
        <w:tabs>
          <w:tab w:val="left" w:pos="840"/>
          <w:tab w:val="left" w:pos="8280"/>
        </w:tabs>
        <w:spacing w:line="480" w:lineRule="auto"/>
        <w:ind w:firstLine="1185" w:firstLineChars="395"/>
        <w:rPr>
          <w:rFonts w:ascii="楷体_GB2312" w:hAnsi="宋体" w:eastAsia="楷体_GB2312" w:cs="宋体"/>
          <w:sz w:val="30"/>
        </w:rPr>
      </w:pPr>
      <w:r>
        <w:rPr>
          <w:rFonts w:hint="eastAsia" w:ascii="楷体_GB2312" w:hAnsi="宋体" w:eastAsia="楷体_GB2312" w:cs="宋体"/>
          <w:sz w:val="30"/>
        </w:rPr>
        <w:t xml:space="preserve">报价单位（盖章）： </w:t>
      </w:r>
    </w:p>
    <w:p>
      <w:pPr>
        <w:tabs>
          <w:tab w:val="left" w:pos="840"/>
          <w:tab w:val="left" w:pos="8280"/>
        </w:tabs>
        <w:spacing w:line="480" w:lineRule="auto"/>
        <w:ind w:firstLine="1200" w:firstLineChars="400"/>
        <w:rPr>
          <w:rFonts w:ascii="楷体_GB2312" w:hAnsi="宋体" w:eastAsia="楷体_GB2312" w:cs="宋体"/>
          <w:sz w:val="30"/>
          <w:szCs w:val="30"/>
        </w:rPr>
      </w:pPr>
      <w:r>
        <w:rPr>
          <w:rFonts w:hint="eastAsia" w:ascii="楷体_GB2312" w:hAnsi="宋体" w:eastAsia="楷体_GB2312" w:cs="宋体"/>
          <w:sz w:val="30"/>
          <w:szCs w:val="30"/>
        </w:rPr>
        <w:t>法定代表人（签名或盖章）：</w:t>
      </w:r>
    </w:p>
    <w:p>
      <w:pPr>
        <w:tabs>
          <w:tab w:val="left" w:pos="840"/>
          <w:tab w:val="left" w:pos="8280"/>
        </w:tabs>
        <w:spacing w:line="480" w:lineRule="auto"/>
        <w:ind w:firstLine="1200" w:firstLineChars="400"/>
        <w:rPr>
          <w:rFonts w:ascii="楷体_GB2312" w:hAnsi="宋体" w:eastAsia="楷体_GB2312" w:cs="宋体"/>
          <w:sz w:val="30"/>
          <w:szCs w:val="30"/>
        </w:rPr>
      </w:pPr>
      <w:r>
        <w:rPr>
          <w:rFonts w:hint="eastAsia" w:ascii="楷体_GB2312" w:hAnsi="宋体" w:eastAsia="楷体_GB2312" w:cs="宋体"/>
          <w:sz w:val="30"/>
          <w:szCs w:val="30"/>
        </w:rPr>
        <w:t xml:space="preserve">或被授权人（签名或盖章）： </w:t>
      </w:r>
    </w:p>
    <w:p>
      <w:pPr>
        <w:spacing w:line="360" w:lineRule="exact"/>
        <w:ind w:firstLine="3360" w:firstLineChars="1050"/>
        <w:rPr>
          <w:rFonts w:ascii="楷体_GB2312" w:hAnsi="宋体" w:eastAsia="楷体_GB2312" w:cs="宋体"/>
          <w:sz w:val="32"/>
          <w:szCs w:val="32"/>
        </w:rPr>
      </w:pPr>
    </w:p>
    <w:p>
      <w:pPr>
        <w:spacing w:line="360" w:lineRule="exact"/>
        <w:rPr>
          <w:rFonts w:ascii="楷体_GB2312" w:hAnsi="宋体" w:eastAsia="楷体_GB2312" w:cs="宋体"/>
          <w:sz w:val="32"/>
          <w:szCs w:val="32"/>
        </w:rPr>
      </w:pPr>
      <w:r>
        <w:rPr>
          <w:rFonts w:hint="eastAsia" w:ascii="楷体_GB2312" w:hAnsi="宋体" w:eastAsia="楷体_GB2312" w:cs="宋体"/>
          <w:sz w:val="32"/>
          <w:szCs w:val="32"/>
        </w:rPr>
        <w:t xml:space="preserve">                  二○二</w:t>
      </w:r>
      <w:r>
        <w:rPr>
          <w:rFonts w:hint="eastAsia" w:ascii="楷体_GB2312" w:hAnsi="宋体" w:eastAsia="楷体_GB2312" w:cs="宋体"/>
          <w:sz w:val="32"/>
          <w:szCs w:val="32"/>
          <w:lang w:eastAsia="zh-CN"/>
        </w:rPr>
        <w:t>一</w:t>
      </w:r>
      <w:r>
        <w:rPr>
          <w:rFonts w:hint="eastAsia" w:ascii="楷体_GB2312" w:hAnsi="宋体" w:eastAsia="楷体_GB2312" w:cs="宋体"/>
          <w:sz w:val="32"/>
          <w:szCs w:val="32"/>
        </w:rPr>
        <w:t>年  月  日</w:t>
      </w:r>
    </w:p>
    <w:p>
      <w:pPr>
        <w:pageBreakBefore/>
        <w:jc w:val="center"/>
        <w:rPr>
          <w:rFonts w:ascii="楷体_GB2312" w:hAnsi="宋体" w:eastAsia="楷体_GB2312"/>
          <w:sz w:val="32"/>
          <w:szCs w:val="32"/>
        </w:rPr>
      </w:pPr>
      <w:r>
        <w:rPr>
          <w:rFonts w:hint="eastAsia" w:ascii="楷体_GB2312" w:hAnsi="宋体" w:eastAsia="楷体_GB2312"/>
          <w:b/>
          <w:bCs/>
          <w:sz w:val="32"/>
          <w:szCs w:val="32"/>
        </w:rPr>
        <w:t>一、声明函</w:t>
      </w:r>
    </w:p>
    <w:p>
      <w:pPr>
        <w:ind w:firstLine="422" w:firstLineChars="200"/>
        <w:jc w:val="center"/>
        <w:rPr>
          <w:rFonts w:ascii="楷体_GB2312" w:hAnsi="宋体" w:eastAsia="楷体_GB2312"/>
          <w:b/>
          <w:szCs w:val="21"/>
        </w:rPr>
      </w:pPr>
    </w:p>
    <w:p>
      <w:pPr>
        <w:ind w:firstLine="422" w:firstLineChars="200"/>
        <w:jc w:val="center"/>
        <w:rPr>
          <w:rFonts w:ascii="楷体_GB2312" w:hAnsi="宋体" w:eastAsia="楷体_GB2312"/>
          <w:b/>
          <w:szCs w:val="21"/>
        </w:rPr>
      </w:pPr>
    </w:p>
    <w:p>
      <w:pPr>
        <w:spacing w:line="480" w:lineRule="auto"/>
        <w:rPr>
          <w:rFonts w:ascii="楷体_GB2312" w:hAnsi="宋体" w:eastAsia="楷体_GB2312"/>
          <w:sz w:val="28"/>
          <w:szCs w:val="28"/>
        </w:rPr>
      </w:pPr>
      <w:r>
        <w:rPr>
          <w:rFonts w:hint="eastAsia" w:ascii="楷体_GB2312" w:hAnsi="宋体" w:eastAsia="楷体_GB2312"/>
          <w:sz w:val="24"/>
        </w:rPr>
        <w:t>常州市武进区芙蓉初级中学</w:t>
      </w:r>
      <w:r>
        <w:rPr>
          <w:rFonts w:hint="eastAsia" w:ascii="楷体_GB2312" w:hAnsi="宋体" w:eastAsia="楷体_GB2312"/>
          <w:sz w:val="28"/>
          <w:szCs w:val="28"/>
        </w:rPr>
        <w:t>：</w:t>
      </w:r>
    </w:p>
    <w:p>
      <w:pPr>
        <w:spacing w:line="480" w:lineRule="auto"/>
        <w:ind w:firstLine="560" w:firstLineChars="200"/>
        <w:rPr>
          <w:rFonts w:ascii="楷体_GB2312" w:hAnsi="宋体" w:eastAsia="楷体_GB2312"/>
          <w:sz w:val="28"/>
          <w:szCs w:val="28"/>
        </w:rPr>
      </w:pPr>
      <w:r>
        <w:rPr>
          <w:rFonts w:hint="eastAsia" w:ascii="楷体_GB2312" w:hAnsi="宋体" w:eastAsia="楷体_GB2312"/>
          <w:sz w:val="28"/>
          <w:szCs w:val="28"/>
        </w:rPr>
        <w:t>我单位收到“       号”询价文件，经仔细阅读和研究，愿意完全接受编制说明中的所有条件和要求。</w:t>
      </w:r>
    </w:p>
    <w:p>
      <w:pPr>
        <w:spacing w:line="480" w:lineRule="auto"/>
        <w:ind w:firstLine="560" w:firstLineChars="200"/>
        <w:rPr>
          <w:rFonts w:ascii="楷体_GB2312" w:hAnsi="宋体" w:eastAsia="楷体_GB2312"/>
          <w:sz w:val="28"/>
          <w:szCs w:val="28"/>
        </w:rPr>
      </w:pPr>
      <w:r>
        <w:rPr>
          <w:rFonts w:hint="eastAsia" w:ascii="楷体_GB2312" w:hAnsi="宋体" w:eastAsia="楷体_GB2312"/>
          <w:sz w:val="28"/>
          <w:szCs w:val="28"/>
        </w:rPr>
        <w:t>1、愿意提供询价文件中要求所有资料，并保证完全真实准确。</w:t>
      </w:r>
    </w:p>
    <w:p>
      <w:pPr>
        <w:spacing w:line="480" w:lineRule="auto"/>
        <w:ind w:firstLine="560" w:firstLineChars="200"/>
        <w:rPr>
          <w:rFonts w:ascii="楷体_GB2312" w:hAnsi="宋体" w:eastAsia="楷体_GB2312"/>
          <w:sz w:val="28"/>
          <w:szCs w:val="28"/>
        </w:rPr>
      </w:pPr>
      <w:r>
        <w:rPr>
          <w:rFonts w:hint="eastAsia" w:ascii="楷体_GB2312" w:hAnsi="宋体" w:eastAsia="楷体_GB2312"/>
          <w:sz w:val="28"/>
          <w:szCs w:val="28"/>
        </w:rPr>
        <w:t>2、我单位认为采购单位有权决定成交供应商，还认为政府采购最低报价是成交的主要条件，但不是唯一条件。</w:t>
      </w:r>
    </w:p>
    <w:p>
      <w:pPr>
        <w:spacing w:line="480" w:lineRule="auto"/>
        <w:ind w:firstLine="560" w:firstLineChars="200"/>
        <w:rPr>
          <w:rFonts w:ascii="楷体_GB2312" w:hAnsi="宋体" w:eastAsia="楷体_GB2312"/>
          <w:sz w:val="28"/>
          <w:szCs w:val="28"/>
        </w:rPr>
      </w:pPr>
      <w:r>
        <w:rPr>
          <w:rFonts w:hint="eastAsia" w:ascii="楷体_GB2312" w:hAnsi="宋体" w:eastAsia="楷体_GB2312"/>
          <w:sz w:val="28"/>
          <w:szCs w:val="28"/>
        </w:rPr>
        <w:t>3、愿意按照规定交纳保证金。</w:t>
      </w:r>
    </w:p>
    <w:p>
      <w:pPr>
        <w:spacing w:line="480" w:lineRule="auto"/>
        <w:ind w:firstLine="560" w:firstLineChars="200"/>
        <w:rPr>
          <w:rFonts w:ascii="楷体_GB2312" w:hAnsi="宋体" w:eastAsia="楷体_GB2312"/>
          <w:sz w:val="28"/>
          <w:szCs w:val="28"/>
        </w:rPr>
      </w:pPr>
      <w:r>
        <w:rPr>
          <w:rFonts w:hint="eastAsia" w:ascii="楷体_GB2312" w:hAnsi="宋体" w:eastAsia="楷体_GB2312"/>
          <w:sz w:val="28"/>
          <w:szCs w:val="28"/>
        </w:rPr>
        <w:t>4、我单位如果未按询价文件要求、合同规定等提出的各项承诺履行义务，愿意接受相应处罚。</w:t>
      </w:r>
    </w:p>
    <w:p>
      <w:pPr>
        <w:spacing w:line="480" w:lineRule="auto"/>
        <w:ind w:firstLine="560" w:firstLineChars="200"/>
        <w:rPr>
          <w:rFonts w:ascii="楷体_GB2312" w:hAnsi="宋体" w:eastAsia="楷体_GB2312"/>
          <w:sz w:val="28"/>
          <w:szCs w:val="28"/>
        </w:rPr>
      </w:pPr>
      <w:r>
        <w:rPr>
          <w:rFonts w:hint="eastAsia" w:ascii="楷体_GB2312" w:hAnsi="宋体" w:eastAsia="楷体_GB2312"/>
          <w:sz w:val="28"/>
          <w:szCs w:val="28"/>
        </w:rPr>
        <w:t>响应文件中所有关于资格文件、附件材料说明及证明陈述均是真实准确的，若有虚假和违背，我公司愿意承担由此而产生的一切后果。</w:t>
      </w:r>
    </w:p>
    <w:p>
      <w:pPr>
        <w:spacing w:line="480" w:lineRule="auto"/>
        <w:ind w:firstLine="4340" w:firstLineChars="1550"/>
        <w:rPr>
          <w:rFonts w:ascii="楷体_GB2312" w:hAnsi="宋体" w:eastAsia="楷体_GB2312"/>
          <w:sz w:val="28"/>
          <w:szCs w:val="28"/>
        </w:rPr>
      </w:pPr>
      <w:r>
        <w:rPr>
          <w:rFonts w:hint="eastAsia" w:ascii="楷体_GB2312" w:hAnsi="宋体" w:eastAsia="楷体_GB2312"/>
          <w:sz w:val="28"/>
          <w:szCs w:val="28"/>
        </w:rPr>
        <w:t xml:space="preserve">  报价单位（公章）：  </w:t>
      </w:r>
    </w:p>
    <w:p>
      <w:pPr>
        <w:spacing w:line="480" w:lineRule="auto"/>
        <w:rPr>
          <w:rFonts w:ascii="楷体_GB2312" w:hAnsi="宋体" w:eastAsia="楷体_GB2312"/>
          <w:sz w:val="28"/>
          <w:szCs w:val="28"/>
        </w:rPr>
      </w:pPr>
      <w:r>
        <w:rPr>
          <w:rFonts w:hint="eastAsia" w:ascii="楷体_GB2312" w:hAnsi="宋体" w:eastAsia="楷体_GB2312"/>
          <w:sz w:val="28"/>
          <w:szCs w:val="28"/>
        </w:rPr>
        <w:t xml:space="preserve">法定代表人或被授权人（签名或盖章）： </w:t>
      </w:r>
      <w:r>
        <w:rPr>
          <w:rFonts w:hint="eastAsia" w:ascii="楷体_GB2312" w:hAnsi="宋体" w:eastAsia="楷体_GB2312"/>
          <w:sz w:val="28"/>
          <w:szCs w:val="28"/>
        </w:rPr>
        <w:tab/>
      </w:r>
      <w:r>
        <w:rPr>
          <w:rFonts w:hint="eastAsia" w:ascii="楷体_GB2312" w:hAnsi="宋体" w:eastAsia="楷体_GB2312"/>
          <w:sz w:val="28"/>
          <w:szCs w:val="28"/>
        </w:rPr>
        <w:tab/>
      </w:r>
      <w:r>
        <w:rPr>
          <w:rFonts w:hint="eastAsia" w:ascii="楷体_GB2312" w:hAnsi="宋体" w:eastAsia="楷体_GB2312"/>
          <w:sz w:val="28"/>
          <w:szCs w:val="28"/>
        </w:rPr>
        <w:t xml:space="preserve">                              年  月  日</w:t>
      </w:r>
    </w:p>
    <w:p>
      <w:pPr>
        <w:pageBreakBefore/>
        <w:jc w:val="center"/>
        <w:rPr>
          <w:rFonts w:ascii="楷体_GB2312" w:hAnsi="宋体" w:eastAsia="楷体_GB2312"/>
          <w:b/>
          <w:bCs/>
          <w:sz w:val="32"/>
          <w:szCs w:val="32"/>
        </w:rPr>
      </w:pPr>
      <w:r>
        <w:rPr>
          <w:rFonts w:hint="eastAsia" w:ascii="楷体_GB2312" w:hAnsi="宋体" w:eastAsia="楷体_GB2312"/>
          <w:b/>
          <w:bCs/>
          <w:sz w:val="32"/>
          <w:szCs w:val="32"/>
        </w:rPr>
        <w:t>二、授权委托书</w:t>
      </w:r>
    </w:p>
    <w:p>
      <w:pPr>
        <w:spacing w:line="360" w:lineRule="auto"/>
        <w:ind w:firstLine="562" w:firstLineChars="200"/>
        <w:jc w:val="left"/>
        <w:rPr>
          <w:rFonts w:ascii="楷体_GB2312" w:hAnsi="宋体" w:eastAsia="楷体_GB2312"/>
          <w:b/>
          <w:sz w:val="28"/>
          <w:szCs w:val="28"/>
        </w:rPr>
      </w:pPr>
    </w:p>
    <w:p>
      <w:pPr>
        <w:spacing w:line="360" w:lineRule="auto"/>
        <w:jc w:val="left"/>
        <w:rPr>
          <w:rFonts w:ascii="楷体_GB2312" w:hAnsi="宋体" w:eastAsia="楷体_GB2312"/>
          <w:sz w:val="24"/>
        </w:rPr>
      </w:pPr>
      <w:r>
        <w:rPr>
          <w:rFonts w:hint="eastAsia" w:ascii="楷体_GB2312" w:hAnsi="宋体" w:eastAsia="楷体_GB2312"/>
          <w:sz w:val="24"/>
        </w:rPr>
        <w:t>常州市武进区芙蓉初级中学：</w:t>
      </w:r>
    </w:p>
    <w:p>
      <w:pPr>
        <w:spacing w:line="360" w:lineRule="auto"/>
        <w:ind w:firstLine="480" w:firstLineChars="200"/>
        <w:jc w:val="left"/>
        <w:rPr>
          <w:rFonts w:ascii="楷体_GB2312" w:hAnsi="宋体" w:eastAsia="楷体_GB2312" w:cs="宋体"/>
          <w:bCs/>
          <w:sz w:val="24"/>
        </w:rPr>
      </w:pPr>
      <w:r>
        <w:rPr>
          <w:rFonts w:hint="eastAsia" w:ascii="楷体_GB2312" w:hAnsi="宋体" w:eastAsia="楷体_GB2312" w:cs="宋体"/>
          <w:bCs/>
          <w:sz w:val="24"/>
        </w:rPr>
        <w:t>本授权委托书宣告：本人</w:t>
      </w:r>
      <w:r>
        <w:rPr>
          <w:rFonts w:hint="eastAsia" w:ascii="楷体_GB2312" w:hAnsi="宋体" w:eastAsia="楷体_GB2312" w:cs="宋体"/>
          <w:bCs/>
          <w:sz w:val="24"/>
          <w:u w:val="single"/>
        </w:rPr>
        <w:t xml:space="preserve">          （姓名）</w:t>
      </w:r>
      <w:r>
        <w:rPr>
          <w:rFonts w:hint="eastAsia" w:ascii="楷体_GB2312" w:hAnsi="宋体" w:eastAsia="楷体_GB2312" w:cs="宋体"/>
          <w:bCs/>
          <w:sz w:val="24"/>
        </w:rPr>
        <w:t>系</w:t>
      </w:r>
      <w:r>
        <w:rPr>
          <w:rFonts w:hint="eastAsia" w:ascii="楷体_GB2312" w:hAnsi="宋体" w:eastAsia="楷体_GB2312" w:cs="宋体"/>
          <w:bCs/>
          <w:sz w:val="24"/>
          <w:u w:val="single"/>
        </w:rPr>
        <w:t xml:space="preserve">                  （单位）</w:t>
      </w:r>
      <w:r>
        <w:rPr>
          <w:rFonts w:hint="eastAsia" w:ascii="楷体_GB2312" w:hAnsi="宋体" w:eastAsia="楷体_GB2312" w:cs="宋体"/>
          <w:bCs/>
          <w:sz w:val="24"/>
        </w:rPr>
        <w:t>的法定代表人，现授权委托</w:t>
      </w:r>
      <w:r>
        <w:rPr>
          <w:rFonts w:hint="eastAsia" w:ascii="楷体_GB2312" w:hAnsi="宋体" w:eastAsia="楷体_GB2312" w:cs="宋体"/>
          <w:bCs/>
          <w:sz w:val="24"/>
          <w:u w:val="single"/>
        </w:rPr>
        <w:t xml:space="preserve">       （姓名）</w:t>
      </w:r>
      <w:r>
        <w:rPr>
          <w:rFonts w:hint="eastAsia" w:ascii="楷体_GB2312" w:hAnsi="宋体" w:eastAsia="楷体_GB2312" w:cs="宋体"/>
          <w:bCs/>
          <w:sz w:val="24"/>
        </w:rPr>
        <w:t>为我单位代理人，该代理人有权在项目采购的询价活动中，以我单位的名义参加报名、签署响应文件、与采购人（或业主）协商、签订合同书以及执行一切与此有关的事项。</w:t>
      </w:r>
    </w:p>
    <w:p>
      <w:pPr>
        <w:spacing w:line="360" w:lineRule="auto"/>
        <w:ind w:firstLine="480" w:firstLineChars="200"/>
        <w:jc w:val="left"/>
        <w:rPr>
          <w:rFonts w:ascii="楷体_GB2312" w:hAnsi="宋体" w:eastAsia="楷体_GB2312" w:cs="宋体"/>
          <w:bCs/>
          <w:sz w:val="24"/>
        </w:rPr>
      </w:pPr>
      <w:r>
        <w:rPr>
          <w:rFonts w:hint="eastAsia" w:ascii="楷体_GB2312" w:hAnsi="宋体" w:eastAsia="楷体_GB2312" w:cs="宋体"/>
          <w:bCs/>
          <w:sz w:val="24"/>
        </w:rPr>
        <w:t>代理人在其权限范围及代理期限内签署的一切有关采购项目的合同、协议和文件，我单位均予以认可并愿承担相应的法律责任。</w:t>
      </w:r>
    </w:p>
    <w:p>
      <w:pPr>
        <w:spacing w:line="360" w:lineRule="auto"/>
        <w:ind w:firstLine="480" w:firstLineChars="200"/>
        <w:jc w:val="left"/>
        <w:rPr>
          <w:rFonts w:ascii="楷体_GB2312" w:hAnsi="宋体" w:eastAsia="楷体_GB2312" w:cs="宋体"/>
          <w:bCs/>
          <w:sz w:val="24"/>
        </w:rPr>
      </w:pPr>
      <w:r>
        <w:rPr>
          <w:rFonts w:hint="eastAsia" w:ascii="楷体_GB2312" w:hAnsi="宋体" w:eastAsia="楷体_GB2312" w:cs="宋体"/>
          <w:bCs/>
          <w:sz w:val="24"/>
        </w:rPr>
        <w:t>委托期限：至本项目结束或新的授权委托书送到之日。代理人无转委托权。</w:t>
      </w:r>
    </w:p>
    <w:p>
      <w:pPr>
        <w:spacing w:line="360" w:lineRule="auto"/>
        <w:ind w:firstLine="480" w:firstLineChars="200"/>
        <w:jc w:val="left"/>
        <w:rPr>
          <w:rFonts w:ascii="楷体_GB2312" w:hAnsi="宋体" w:eastAsia="楷体_GB2312" w:cs="宋体"/>
          <w:bCs/>
          <w:sz w:val="24"/>
        </w:rPr>
      </w:pPr>
    </w:p>
    <w:p>
      <w:pPr>
        <w:spacing w:line="360" w:lineRule="auto"/>
        <w:ind w:firstLine="480" w:firstLineChars="200"/>
        <w:jc w:val="left"/>
        <w:rPr>
          <w:rFonts w:ascii="楷体_GB2312" w:hAnsi="宋体" w:eastAsia="楷体_GB2312" w:cs="宋体"/>
          <w:bCs/>
          <w:sz w:val="24"/>
        </w:rPr>
      </w:pPr>
      <w:r>
        <w:rPr>
          <w:rFonts w:hint="eastAsia" w:ascii="楷体_GB2312" w:hAnsi="宋体" w:eastAsia="楷体_GB2312" w:cs="宋体"/>
          <w:bCs/>
          <w:sz w:val="24"/>
        </w:rPr>
        <w:t>被授权人情况：</w:t>
      </w:r>
    </w:p>
    <w:p>
      <w:pPr>
        <w:spacing w:line="360" w:lineRule="auto"/>
        <w:ind w:firstLine="480" w:firstLineChars="200"/>
        <w:jc w:val="left"/>
        <w:rPr>
          <w:rFonts w:ascii="楷体_GB2312" w:hAnsi="宋体" w:eastAsia="楷体_GB2312" w:cs="宋体"/>
          <w:bCs/>
          <w:sz w:val="24"/>
        </w:rPr>
      </w:pPr>
      <w:r>
        <w:rPr>
          <w:rFonts w:hint="eastAsia" w:ascii="楷体_GB2312" w:hAnsi="宋体" w:eastAsia="楷体_GB2312" w:cs="宋体"/>
          <w:bCs/>
          <w:sz w:val="24"/>
        </w:rPr>
        <w:t>姓名：         性别：       年龄：       职务：</w:t>
      </w:r>
    </w:p>
    <w:p>
      <w:pPr>
        <w:spacing w:line="360" w:lineRule="auto"/>
        <w:ind w:firstLine="480" w:firstLineChars="200"/>
        <w:jc w:val="left"/>
        <w:rPr>
          <w:rFonts w:ascii="楷体_GB2312" w:hAnsi="宋体" w:eastAsia="楷体_GB2312" w:cs="宋体"/>
          <w:bCs/>
          <w:sz w:val="24"/>
        </w:rPr>
      </w:pPr>
      <w:r>
        <w:rPr>
          <w:rFonts w:hint="eastAsia" w:ascii="楷体_GB2312" w:hAnsi="宋体" w:eastAsia="楷体_GB2312" w:cs="宋体"/>
          <w:bCs/>
          <w:sz w:val="24"/>
        </w:rPr>
        <w:t>身份证号码：                电话：</w:t>
      </w:r>
    </w:p>
    <w:p>
      <w:pPr>
        <w:spacing w:line="360" w:lineRule="auto"/>
        <w:ind w:firstLine="480" w:firstLineChars="200"/>
        <w:jc w:val="left"/>
        <w:rPr>
          <w:rFonts w:ascii="楷体_GB2312" w:hAnsi="宋体" w:eastAsia="楷体_GB2312" w:cs="宋体"/>
          <w:bCs/>
          <w:sz w:val="24"/>
        </w:rPr>
      </w:pPr>
      <w:r>
        <w:rPr>
          <w:rFonts w:hint="eastAsia" w:ascii="楷体_GB2312" w:hAnsi="宋体" w:eastAsia="楷体_GB2312" w:cs="宋体"/>
          <w:bCs/>
          <w:sz w:val="24"/>
        </w:rPr>
        <w:t>通讯地址：</w:t>
      </w:r>
    </w:p>
    <w:p>
      <w:pPr>
        <w:spacing w:line="360" w:lineRule="auto"/>
        <w:ind w:firstLine="480" w:firstLineChars="200"/>
        <w:jc w:val="left"/>
        <w:rPr>
          <w:rFonts w:ascii="楷体_GB2312" w:hAnsi="宋体" w:eastAsia="楷体_GB2312" w:cs="宋体"/>
          <w:bCs/>
          <w:sz w:val="24"/>
        </w:rPr>
      </w:pPr>
      <w:r>
        <w:rPr>
          <w:rFonts w:hint="eastAsia" w:ascii="楷体_GB2312" w:hAnsi="宋体" w:eastAsia="楷体_GB2312" w:cs="宋体"/>
          <w:bCs/>
          <w:sz w:val="24"/>
        </w:rPr>
        <w:t xml:space="preserve">被授权人签名或盖章：             </w:t>
      </w:r>
    </w:p>
    <w:p>
      <w:pPr>
        <w:spacing w:line="400" w:lineRule="exact"/>
        <w:ind w:firstLine="480" w:firstLineChars="200"/>
        <w:jc w:val="left"/>
        <w:rPr>
          <w:rFonts w:ascii="楷体_GB2312" w:hAnsi="宋体" w:eastAsia="楷体_GB2312" w:cs="宋体"/>
          <w:bCs/>
          <w:sz w:val="24"/>
        </w:rPr>
      </w:pPr>
    </w:p>
    <w:p>
      <w:pPr>
        <w:spacing w:line="400" w:lineRule="exact"/>
        <w:ind w:firstLine="480" w:firstLineChars="200"/>
        <w:jc w:val="left"/>
        <w:rPr>
          <w:rFonts w:ascii="楷体_GB2312" w:hAnsi="宋体" w:eastAsia="楷体_GB2312" w:cs="宋体"/>
          <w:bCs/>
          <w:sz w:val="24"/>
        </w:rPr>
      </w:pPr>
      <w:r>
        <w:rPr>
          <w:rFonts w:hint="eastAsia" w:ascii="楷体_GB2312" w:hAnsi="宋体" w:eastAsia="楷体_GB2312" w:cs="宋体"/>
          <w:bCs/>
          <w:sz w:val="24"/>
        </w:rPr>
        <w:t xml:space="preserve">                             单位名称（公章）：</w:t>
      </w:r>
    </w:p>
    <w:p>
      <w:pPr>
        <w:spacing w:line="400" w:lineRule="exact"/>
        <w:jc w:val="left"/>
        <w:rPr>
          <w:rFonts w:ascii="楷体_GB2312" w:hAnsi="宋体" w:eastAsia="楷体_GB2312" w:cs="宋体"/>
          <w:bCs/>
          <w:sz w:val="24"/>
        </w:rPr>
      </w:pPr>
      <w:r>
        <w:rPr>
          <w:rFonts w:hint="eastAsia" w:ascii="楷体_GB2312" w:hAnsi="宋体" w:eastAsia="楷体_GB2312" w:cs="宋体"/>
          <w:bCs/>
          <w:sz w:val="24"/>
        </w:rPr>
        <w:t>法定代表人（签名或盖章）：</w:t>
      </w:r>
    </w:p>
    <w:p>
      <w:pPr>
        <w:spacing w:line="400" w:lineRule="exact"/>
        <w:ind w:firstLine="480" w:firstLineChars="200"/>
        <w:jc w:val="left"/>
        <w:rPr>
          <w:rFonts w:ascii="楷体_GB2312" w:hAnsi="宋体" w:eastAsia="楷体_GB2312" w:cs="宋体"/>
          <w:bCs/>
          <w:sz w:val="24"/>
        </w:rPr>
      </w:pPr>
      <w:r>
        <w:rPr>
          <w:rFonts w:hint="eastAsia" w:ascii="楷体_GB2312" w:hAnsi="宋体" w:eastAsia="楷体_GB2312" w:cs="宋体"/>
          <w:bCs/>
          <w:sz w:val="24"/>
        </w:rPr>
        <w:t xml:space="preserve">                             日   期：    年   月   日</w:t>
      </w:r>
    </w:p>
    <w:p>
      <w:pPr>
        <w:spacing w:line="400" w:lineRule="exact"/>
        <w:jc w:val="left"/>
        <w:rPr>
          <w:rFonts w:ascii="楷体_GB2312" w:hAnsi="宋体" w:eastAsia="楷体_GB2312" w:cs="宋体"/>
          <w:bCs/>
          <w:sz w:val="24"/>
          <w:u w:val="single"/>
        </w:rPr>
      </w:pPr>
      <w:r>
        <w:rPr>
          <w:rFonts w:hint="eastAsia" w:ascii="楷体_GB2312" w:hAnsi="宋体" w:eastAsia="楷体_GB2312" w:cs="宋体"/>
          <w:b/>
          <w:sz w:val="24"/>
        </w:rPr>
        <w:t>注意事项：</w:t>
      </w:r>
      <w:r>
        <w:rPr>
          <w:rFonts w:hint="eastAsia" w:ascii="楷体_GB2312" w:hAnsi="宋体" w:eastAsia="楷体_GB2312" w:cs="宋体"/>
          <w:bCs/>
          <w:sz w:val="24"/>
          <w:u w:val="single"/>
        </w:rPr>
        <w:t>1、如法定代表人参加报名，需附法定代表人第二代居民身份证复印件（正反面）。</w:t>
      </w:r>
    </w:p>
    <w:p>
      <w:pPr>
        <w:spacing w:line="400" w:lineRule="exact"/>
        <w:ind w:firstLine="480" w:firstLineChars="200"/>
        <w:jc w:val="left"/>
        <w:rPr>
          <w:rFonts w:ascii="楷体_GB2312" w:hAnsi="宋体" w:eastAsia="楷体_GB2312" w:cs="宋体"/>
          <w:bCs/>
          <w:sz w:val="24"/>
          <w:u w:val="single"/>
        </w:rPr>
      </w:pPr>
      <w:r>
        <w:rPr>
          <w:rFonts w:hint="eastAsia" w:ascii="楷体_GB2312" w:hAnsi="宋体" w:eastAsia="楷体_GB2312" w:cs="宋体"/>
          <w:bCs/>
          <w:sz w:val="24"/>
          <w:u w:val="single"/>
        </w:rPr>
        <w:t xml:space="preserve"> 2、如被授权人参加报名，需附法定代表人第二代居民身份证复印件（正反面）和被授权人第二代居民身份证复印件（正反面）。</w:t>
      </w:r>
    </w:p>
    <w:p>
      <w:pPr>
        <w:spacing w:line="440" w:lineRule="exact"/>
        <w:jc w:val="left"/>
        <w:rPr>
          <w:rFonts w:ascii="楷体_GB2312" w:hAnsi="宋体" w:eastAsia="楷体_GB2312"/>
          <w:bCs/>
          <w:sz w:val="24"/>
        </w:rPr>
      </w:pPr>
    </w:p>
    <w:p>
      <w:pPr>
        <w:pageBreakBefore/>
        <w:spacing w:line="400" w:lineRule="exact"/>
        <w:ind w:firstLine="3052" w:firstLineChars="950"/>
        <w:rPr>
          <w:rFonts w:ascii="楷体_GB2312" w:hAnsi="宋体" w:eastAsia="楷体_GB2312"/>
          <w:b/>
          <w:sz w:val="32"/>
          <w:szCs w:val="32"/>
        </w:rPr>
      </w:pPr>
      <w:bookmarkStart w:id="1" w:name="_Toc12473"/>
      <w:bookmarkStart w:id="2" w:name="_Toc222799679"/>
      <w:bookmarkStart w:id="3" w:name="_Toc158691787"/>
      <w:bookmarkStart w:id="4" w:name="_Toc17620"/>
      <w:bookmarkStart w:id="5" w:name="_Toc311189790"/>
      <w:bookmarkStart w:id="6" w:name="_Toc10565"/>
      <w:bookmarkStart w:id="7" w:name="_Toc13748"/>
      <w:r>
        <w:rPr>
          <w:rFonts w:hint="eastAsia" w:ascii="楷体_GB2312" w:hAnsi="宋体" w:eastAsia="楷体_GB2312"/>
          <w:b/>
          <w:sz w:val="32"/>
          <w:szCs w:val="32"/>
          <w:lang w:val="zh-CN"/>
        </w:rPr>
        <w:t>三、项目实施方案</w:t>
      </w:r>
    </w:p>
    <w:p>
      <w:pPr>
        <w:spacing w:line="400" w:lineRule="exact"/>
        <w:ind w:firstLine="1124" w:firstLineChars="350"/>
        <w:rPr>
          <w:rFonts w:ascii="楷体_GB2312" w:hAnsi="宋体" w:eastAsia="楷体_GB2312"/>
          <w:b/>
          <w:sz w:val="32"/>
          <w:szCs w:val="32"/>
          <w:lang w:val="zh-CN"/>
        </w:rPr>
      </w:pPr>
    </w:p>
    <w:p>
      <w:pPr>
        <w:spacing w:line="480" w:lineRule="auto"/>
        <w:ind w:firstLine="560" w:firstLineChars="200"/>
        <w:rPr>
          <w:rFonts w:ascii="楷体_GB2312" w:hAnsi="宋体" w:eastAsia="楷体_GB2312" w:cs="宋体"/>
          <w:sz w:val="28"/>
          <w:szCs w:val="28"/>
        </w:rPr>
      </w:pPr>
      <w:r>
        <w:rPr>
          <w:rFonts w:hint="eastAsia" w:ascii="楷体_GB2312" w:hAnsi="宋体" w:eastAsia="楷体_GB2312" w:cs="宋体"/>
          <w:sz w:val="28"/>
          <w:szCs w:val="28"/>
        </w:rPr>
        <w:t>询价文件中提出的需求是最基本的服务要求，各报价单位须响应这些要求，并可以在此基础上，根据自身优势进一步优化。本方案可包括（但不限于）以下内容：</w:t>
      </w:r>
    </w:p>
    <w:p>
      <w:pPr>
        <w:numPr>
          <w:ilvl w:val="0"/>
          <w:numId w:val="3"/>
        </w:numPr>
        <w:spacing w:line="480" w:lineRule="auto"/>
        <w:rPr>
          <w:rFonts w:ascii="楷体_GB2312" w:hAnsi="宋体" w:eastAsia="楷体_GB2312" w:cs="宋体"/>
          <w:sz w:val="28"/>
          <w:szCs w:val="28"/>
        </w:rPr>
      </w:pPr>
      <w:r>
        <w:rPr>
          <w:rFonts w:hint="eastAsia" w:ascii="楷体_GB2312" w:hAnsi="宋体" w:eastAsia="楷体_GB2312" w:cs="宋体"/>
          <w:sz w:val="28"/>
          <w:szCs w:val="28"/>
        </w:rPr>
        <w:t>详细实施方案</w:t>
      </w:r>
    </w:p>
    <w:p>
      <w:pPr>
        <w:spacing w:line="480" w:lineRule="auto"/>
        <w:ind w:left="840" w:hanging="840" w:hangingChars="300"/>
        <w:rPr>
          <w:rFonts w:ascii="楷体_GB2312" w:hAnsi="宋体" w:eastAsia="楷体_GB2312" w:cs="宋体"/>
          <w:sz w:val="28"/>
          <w:szCs w:val="28"/>
        </w:rPr>
      </w:pPr>
      <w:r>
        <w:rPr>
          <w:rFonts w:hint="eastAsia" w:ascii="楷体_GB2312" w:hAnsi="宋体" w:eastAsia="楷体_GB2312" w:cs="宋体"/>
          <w:sz w:val="28"/>
          <w:szCs w:val="28"/>
        </w:rPr>
        <w:t>（2）报价单位应就人员配备、技术保证、项目质量、服务期限等做出承诺</w:t>
      </w:r>
    </w:p>
    <w:p>
      <w:pPr>
        <w:spacing w:line="480" w:lineRule="auto"/>
        <w:rPr>
          <w:rFonts w:ascii="楷体_GB2312" w:hAnsi="宋体" w:eastAsia="楷体_GB2312" w:cs="宋体"/>
          <w:sz w:val="28"/>
          <w:szCs w:val="28"/>
        </w:rPr>
      </w:pPr>
      <w:r>
        <w:rPr>
          <w:rFonts w:hint="eastAsia" w:ascii="楷体_GB2312" w:hAnsi="宋体" w:eastAsia="楷体_GB2312" w:cs="宋体"/>
          <w:bCs/>
          <w:sz w:val="28"/>
          <w:szCs w:val="28"/>
        </w:rPr>
        <w:t>（3）对原始资料的调查与收集</w:t>
      </w:r>
    </w:p>
    <w:p>
      <w:pPr>
        <w:spacing w:line="480" w:lineRule="auto"/>
        <w:rPr>
          <w:rFonts w:ascii="楷体_GB2312" w:hAnsi="宋体" w:eastAsia="楷体_GB2312" w:cs="宋体"/>
          <w:sz w:val="28"/>
          <w:szCs w:val="28"/>
        </w:rPr>
      </w:pPr>
      <w:r>
        <w:rPr>
          <w:rFonts w:hint="eastAsia" w:ascii="楷体_GB2312" w:hAnsi="宋体" w:eastAsia="楷体_GB2312" w:cs="宋体"/>
          <w:sz w:val="28"/>
          <w:szCs w:val="28"/>
        </w:rPr>
        <w:t>（4）合理化建议（并提出相应可行的解决办法）</w:t>
      </w:r>
    </w:p>
    <w:p>
      <w:pPr>
        <w:spacing w:line="480" w:lineRule="auto"/>
        <w:rPr>
          <w:rFonts w:ascii="楷体_GB2312" w:hAnsi="宋体" w:eastAsia="楷体_GB2312" w:cs="宋体"/>
          <w:sz w:val="28"/>
          <w:szCs w:val="28"/>
        </w:rPr>
      </w:pPr>
      <w:r>
        <w:rPr>
          <w:rFonts w:hint="eastAsia" w:ascii="楷体_GB2312" w:hAnsi="宋体" w:eastAsia="楷体_GB2312" w:cs="宋体"/>
          <w:sz w:val="28"/>
          <w:szCs w:val="28"/>
        </w:rPr>
        <w:t>（5）需要采购人协助的事项</w:t>
      </w:r>
    </w:p>
    <w:p>
      <w:pPr>
        <w:pStyle w:val="3"/>
        <w:rPr>
          <w:rFonts w:eastAsia="楷体_GB2312"/>
        </w:rPr>
      </w:pPr>
      <w:r>
        <w:rPr>
          <w:rFonts w:hint="eastAsia" w:ascii="楷体_GB2312" w:hAnsi="宋体" w:eastAsia="楷体_GB2312" w:cs="宋体"/>
          <w:szCs w:val="28"/>
        </w:rPr>
        <w:t>（6）项目验收方案</w:t>
      </w:r>
    </w:p>
    <w:p>
      <w:pPr>
        <w:spacing w:line="480" w:lineRule="auto"/>
        <w:rPr>
          <w:rFonts w:ascii="楷体_GB2312" w:hAnsi="宋体" w:eastAsia="楷体_GB2312" w:cs="宋体"/>
          <w:sz w:val="28"/>
          <w:szCs w:val="28"/>
        </w:rPr>
      </w:pPr>
      <w:r>
        <w:rPr>
          <w:rFonts w:hint="eastAsia" w:ascii="楷体_GB2312" w:hAnsi="宋体" w:eastAsia="楷体_GB2312" w:cs="宋体"/>
          <w:sz w:val="28"/>
          <w:szCs w:val="28"/>
        </w:rPr>
        <w:t>（7）报价单位认为需要添加的内容</w:t>
      </w:r>
    </w:p>
    <w:p>
      <w:pPr>
        <w:spacing w:line="400" w:lineRule="exact"/>
        <w:ind w:firstLine="1124" w:firstLineChars="350"/>
        <w:rPr>
          <w:rFonts w:ascii="楷体_GB2312" w:hAnsi="宋体" w:eastAsia="楷体_GB2312"/>
          <w:b/>
          <w:sz w:val="32"/>
          <w:szCs w:val="32"/>
          <w:lang w:val="zh-CN"/>
        </w:rPr>
      </w:pPr>
    </w:p>
    <w:p>
      <w:pPr>
        <w:spacing w:line="400" w:lineRule="exact"/>
        <w:ind w:firstLine="1124" w:firstLineChars="350"/>
        <w:rPr>
          <w:rFonts w:ascii="楷体_GB2312" w:hAnsi="宋体" w:eastAsia="楷体_GB2312"/>
          <w:b/>
          <w:sz w:val="32"/>
          <w:szCs w:val="32"/>
          <w:lang w:val="zh-CN"/>
        </w:rPr>
      </w:pPr>
    </w:p>
    <w:p>
      <w:pPr>
        <w:spacing w:line="400" w:lineRule="exact"/>
        <w:ind w:firstLine="1124" w:firstLineChars="350"/>
        <w:rPr>
          <w:rFonts w:ascii="楷体_GB2312" w:hAnsi="宋体" w:eastAsia="楷体_GB2312"/>
          <w:b/>
          <w:sz w:val="32"/>
          <w:szCs w:val="32"/>
          <w:lang w:val="zh-CN"/>
        </w:rPr>
      </w:pPr>
    </w:p>
    <w:p>
      <w:pPr>
        <w:spacing w:line="400" w:lineRule="exact"/>
        <w:ind w:firstLine="1124" w:firstLineChars="350"/>
        <w:rPr>
          <w:rFonts w:ascii="楷体_GB2312" w:hAnsi="宋体" w:eastAsia="楷体_GB2312"/>
          <w:b/>
          <w:sz w:val="32"/>
          <w:szCs w:val="32"/>
          <w:lang w:val="zh-CN"/>
        </w:rPr>
      </w:pPr>
    </w:p>
    <w:p>
      <w:pPr>
        <w:spacing w:line="400" w:lineRule="exact"/>
        <w:ind w:firstLine="1124" w:firstLineChars="350"/>
        <w:rPr>
          <w:rFonts w:ascii="楷体_GB2312" w:hAnsi="宋体" w:eastAsia="楷体_GB2312"/>
          <w:b/>
          <w:sz w:val="32"/>
          <w:szCs w:val="32"/>
          <w:lang w:val="zh-CN"/>
        </w:rPr>
      </w:pPr>
    </w:p>
    <w:p>
      <w:pPr>
        <w:spacing w:line="400" w:lineRule="exact"/>
        <w:ind w:firstLine="1124" w:firstLineChars="350"/>
        <w:rPr>
          <w:rFonts w:ascii="楷体_GB2312" w:hAnsi="宋体" w:eastAsia="楷体_GB2312"/>
          <w:b/>
          <w:sz w:val="32"/>
          <w:szCs w:val="32"/>
          <w:lang w:val="zh-CN"/>
        </w:rPr>
      </w:pPr>
    </w:p>
    <w:p>
      <w:pPr>
        <w:spacing w:line="480" w:lineRule="auto"/>
        <w:ind w:firstLine="3640" w:firstLineChars="1300"/>
        <w:rPr>
          <w:rFonts w:ascii="楷体_GB2312" w:hAnsi="宋体" w:eastAsia="楷体_GB2312"/>
          <w:sz w:val="28"/>
          <w:szCs w:val="28"/>
        </w:rPr>
      </w:pPr>
      <w:r>
        <w:rPr>
          <w:rFonts w:hint="eastAsia" w:ascii="楷体_GB2312" w:hAnsi="宋体" w:eastAsia="楷体_GB2312"/>
          <w:sz w:val="28"/>
          <w:szCs w:val="28"/>
        </w:rPr>
        <w:t xml:space="preserve">报价单位（公章）：  </w:t>
      </w:r>
    </w:p>
    <w:p>
      <w:pPr>
        <w:spacing w:line="480" w:lineRule="auto"/>
        <w:ind w:firstLine="3640" w:firstLineChars="1300"/>
        <w:rPr>
          <w:rFonts w:ascii="楷体_GB2312" w:hAnsi="宋体" w:eastAsia="楷体_GB2312"/>
          <w:sz w:val="28"/>
          <w:szCs w:val="28"/>
        </w:rPr>
      </w:pPr>
      <w:r>
        <w:rPr>
          <w:rFonts w:hint="eastAsia" w:ascii="楷体_GB2312" w:hAnsi="宋体" w:eastAsia="楷体_GB2312"/>
          <w:sz w:val="28"/>
          <w:szCs w:val="28"/>
        </w:rPr>
        <w:t xml:space="preserve">法定代表人或被授权人（签名或盖章）： </w:t>
      </w:r>
    </w:p>
    <w:p>
      <w:pPr>
        <w:spacing w:line="480" w:lineRule="auto"/>
        <w:ind w:firstLine="560" w:firstLineChars="200"/>
        <w:rPr>
          <w:rFonts w:ascii="楷体_GB2312" w:hAnsi="宋体" w:eastAsia="楷体_GB2312"/>
          <w:sz w:val="28"/>
          <w:szCs w:val="28"/>
        </w:rPr>
      </w:pPr>
      <w:r>
        <w:rPr>
          <w:rFonts w:hint="eastAsia" w:ascii="楷体_GB2312" w:hAnsi="宋体" w:eastAsia="楷体_GB2312"/>
          <w:sz w:val="28"/>
          <w:szCs w:val="28"/>
        </w:rPr>
        <w:tab/>
      </w:r>
      <w:r>
        <w:rPr>
          <w:rFonts w:hint="eastAsia" w:ascii="楷体_GB2312" w:hAnsi="宋体" w:eastAsia="楷体_GB2312"/>
          <w:sz w:val="28"/>
          <w:szCs w:val="28"/>
        </w:rPr>
        <w:tab/>
      </w:r>
      <w:r>
        <w:rPr>
          <w:rFonts w:hint="eastAsia" w:ascii="楷体_GB2312" w:hAnsi="宋体" w:eastAsia="楷体_GB2312"/>
          <w:sz w:val="28"/>
          <w:szCs w:val="28"/>
        </w:rPr>
        <w:t xml:space="preserve">                 日   期：     年    月    日</w:t>
      </w:r>
    </w:p>
    <w:p>
      <w:pPr>
        <w:pageBreakBefore/>
        <w:spacing w:line="400" w:lineRule="exact"/>
        <w:jc w:val="center"/>
        <w:rPr>
          <w:rFonts w:ascii="楷体_GB2312" w:hAnsi="宋体" w:eastAsia="楷体_GB2312"/>
          <w:b/>
          <w:sz w:val="18"/>
          <w:szCs w:val="18"/>
          <w:lang w:val="zh-CN"/>
        </w:rPr>
      </w:pPr>
      <w:r>
        <w:rPr>
          <w:rFonts w:hint="eastAsia" w:ascii="楷体_GB2312" w:hAnsi="宋体" w:eastAsia="楷体_GB2312"/>
          <w:b/>
          <w:sz w:val="32"/>
          <w:szCs w:val="32"/>
          <w:lang w:val="zh-CN"/>
        </w:rPr>
        <w:t>四、售后服务承诺书</w:t>
      </w:r>
    </w:p>
    <w:p>
      <w:pPr>
        <w:spacing w:line="400" w:lineRule="exact"/>
        <w:rPr>
          <w:rFonts w:ascii="楷体_GB2312" w:hAnsi="宋体" w:eastAsia="楷体_GB2312"/>
          <w:b/>
          <w:sz w:val="18"/>
          <w:szCs w:val="18"/>
          <w:lang w:val="zh-CN"/>
        </w:rPr>
      </w:pPr>
    </w:p>
    <w:p>
      <w:pPr>
        <w:spacing w:line="400" w:lineRule="exact"/>
        <w:rPr>
          <w:rFonts w:ascii="楷体_GB2312" w:hAnsi="宋体" w:eastAsia="楷体_GB2312" w:cs="宋体"/>
          <w:sz w:val="24"/>
          <w:lang w:val="zh-CN"/>
        </w:rPr>
      </w:pPr>
      <w:r>
        <w:rPr>
          <w:rFonts w:hint="eastAsia" w:ascii="楷体_GB2312" w:hAnsi="宋体" w:eastAsia="楷体_GB2312" w:cs="宋体"/>
          <w:sz w:val="24"/>
          <w:lang w:val="zh-CN"/>
        </w:rPr>
        <w:t xml:space="preserve">项目名称：                         </w:t>
      </w:r>
    </w:p>
    <w:tbl>
      <w:tblPr>
        <w:tblStyle w:val="17"/>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60"/>
        <w:gridCol w:w="2052"/>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828" w:type="dxa"/>
            <w:vAlign w:val="center"/>
          </w:tcPr>
          <w:p>
            <w:pPr>
              <w:spacing w:line="400" w:lineRule="exact"/>
              <w:jc w:val="center"/>
              <w:rPr>
                <w:rFonts w:ascii="楷体_GB2312" w:hAnsi="宋体" w:eastAsia="楷体_GB2312" w:cs="宋体"/>
                <w:sz w:val="24"/>
                <w:lang w:val="zh-CN"/>
              </w:rPr>
            </w:pPr>
            <w:r>
              <w:rPr>
                <w:rFonts w:hint="eastAsia" w:ascii="楷体_GB2312" w:hAnsi="宋体" w:eastAsia="楷体_GB2312" w:cs="宋体"/>
                <w:sz w:val="24"/>
                <w:lang w:val="zh-CN"/>
              </w:rPr>
              <w:t>序号</w:t>
            </w:r>
          </w:p>
        </w:tc>
        <w:tc>
          <w:tcPr>
            <w:tcW w:w="3060" w:type="dxa"/>
            <w:vAlign w:val="center"/>
          </w:tcPr>
          <w:p>
            <w:pPr>
              <w:spacing w:line="400" w:lineRule="exact"/>
              <w:jc w:val="center"/>
              <w:rPr>
                <w:rFonts w:ascii="楷体_GB2312" w:hAnsi="宋体" w:eastAsia="楷体_GB2312" w:cs="宋体"/>
                <w:sz w:val="24"/>
                <w:lang w:val="zh-CN"/>
              </w:rPr>
            </w:pPr>
            <w:r>
              <w:rPr>
                <w:rFonts w:hint="eastAsia" w:ascii="楷体_GB2312" w:hAnsi="宋体" w:eastAsia="楷体_GB2312" w:cs="宋体"/>
                <w:sz w:val="24"/>
                <w:lang w:val="zh-CN"/>
              </w:rPr>
              <w:t>售后服务内容</w:t>
            </w:r>
          </w:p>
        </w:tc>
        <w:tc>
          <w:tcPr>
            <w:tcW w:w="2052" w:type="dxa"/>
            <w:vAlign w:val="center"/>
          </w:tcPr>
          <w:p>
            <w:pPr>
              <w:spacing w:line="400" w:lineRule="exact"/>
              <w:jc w:val="center"/>
              <w:rPr>
                <w:rFonts w:ascii="楷体_GB2312" w:hAnsi="宋体" w:eastAsia="楷体_GB2312" w:cs="宋体"/>
                <w:sz w:val="24"/>
                <w:lang w:val="zh-CN"/>
              </w:rPr>
            </w:pPr>
            <w:r>
              <w:rPr>
                <w:rFonts w:hint="eastAsia" w:ascii="楷体_GB2312" w:hAnsi="宋体" w:eastAsia="楷体_GB2312" w:cs="宋体"/>
                <w:sz w:val="24"/>
                <w:lang w:val="zh-CN"/>
              </w:rPr>
              <w:t>期限（时间）</w:t>
            </w:r>
          </w:p>
        </w:tc>
        <w:tc>
          <w:tcPr>
            <w:tcW w:w="2160" w:type="dxa"/>
            <w:vAlign w:val="center"/>
          </w:tcPr>
          <w:p>
            <w:pPr>
              <w:spacing w:line="400" w:lineRule="exact"/>
              <w:jc w:val="center"/>
              <w:rPr>
                <w:rFonts w:ascii="楷体_GB2312" w:hAnsi="宋体" w:eastAsia="楷体_GB2312" w:cs="宋体"/>
                <w:sz w:val="24"/>
                <w:lang w:val="zh-CN"/>
              </w:rPr>
            </w:pPr>
            <w:r>
              <w:rPr>
                <w:rFonts w:hint="eastAsia" w:ascii="楷体_GB2312" w:hAnsi="宋体" w:eastAsia="楷体_GB2312" w:cs="宋体"/>
                <w:sz w:val="24"/>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828" w:type="dxa"/>
            <w:vAlign w:val="center"/>
          </w:tcPr>
          <w:p>
            <w:pPr>
              <w:spacing w:line="400" w:lineRule="exact"/>
              <w:jc w:val="center"/>
              <w:rPr>
                <w:rFonts w:ascii="楷体_GB2312" w:hAnsi="宋体" w:eastAsia="楷体_GB2312" w:cs="宋体"/>
                <w:sz w:val="24"/>
                <w:lang w:val="zh-CN"/>
              </w:rPr>
            </w:pPr>
            <w:r>
              <w:rPr>
                <w:rFonts w:hint="eastAsia" w:ascii="楷体_GB2312" w:hAnsi="宋体" w:eastAsia="楷体_GB2312" w:cs="宋体"/>
                <w:sz w:val="24"/>
                <w:lang w:val="zh-CN"/>
              </w:rPr>
              <w:t>1</w:t>
            </w:r>
          </w:p>
        </w:tc>
        <w:tc>
          <w:tcPr>
            <w:tcW w:w="3060" w:type="dxa"/>
            <w:vAlign w:val="center"/>
          </w:tcPr>
          <w:p>
            <w:pPr>
              <w:spacing w:line="400" w:lineRule="exact"/>
              <w:jc w:val="center"/>
              <w:rPr>
                <w:rFonts w:ascii="楷体_GB2312" w:hAnsi="宋体" w:eastAsia="楷体_GB2312" w:cs="宋体"/>
                <w:sz w:val="24"/>
                <w:lang w:val="zh-CN"/>
              </w:rPr>
            </w:pPr>
            <w:r>
              <w:rPr>
                <w:rFonts w:hint="eastAsia" w:ascii="楷体_GB2312" w:hAnsi="宋体" w:eastAsia="楷体_GB2312" w:cs="宋体"/>
                <w:sz w:val="24"/>
                <w:lang w:val="zh-CN"/>
              </w:rPr>
              <w:t>免费更换（质保期）</w:t>
            </w:r>
          </w:p>
        </w:tc>
        <w:tc>
          <w:tcPr>
            <w:tcW w:w="2052" w:type="dxa"/>
            <w:vAlign w:val="center"/>
          </w:tcPr>
          <w:p>
            <w:pPr>
              <w:spacing w:line="400" w:lineRule="exact"/>
              <w:jc w:val="center"/>
              <w:rPr>
                <w:rFonts w:ascii="楷体_GB2312" w:hAnsi="宋体" w:eastAsia="楷体_GB2312" w:cs="宋体"/>
                <w:sz w:val="24"/>
                <w:lang w:val="zh-CN"/>
              </w:rPr>
            </w:pPr>
          </w:p>
        </w:tc>
        <w:tc>
          <w:tcPr>
            <w:tcW w:w="2160" w:type="dxa"/>
            <w:vAlign w:val="center"/>
          </w:tcPr>
          <w:p>
            <w:pPr>
              <w:spacing w:line="400" w:lineRule="exact"/>
              <w:jc w:val="center"/>
              <w:rPr>
                <w:rFonts w:ascii="楷体_GB2312" w:hAnsi="宋体" w:eastAsia="楷体_GB2312"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828" w:type="dxa"/>
            <w:vAlign w:val="center"/>
          </w:tcPr>
          <w:p>
            <w:pPr>
              <w:spacing w:line="400" w:lineRule="exact"/>
              <w:jc w:val="center"/>
              <w:rPr>
                <w:rFonts w:ascii="楷体_GB2312" w:hAnsi="宋体" w:eastAsia="楷体_GB2312" w:cs="宋体"/>
                <w:sz w:val="24"/>
                <w:lang w:val="zh-CN"/>
              </w:rPr>
            </w:pPr>
            <w:r>
              <w:rPr>
                <w:rFonts w:hint="eastAsia" w:ascii="楷体_GB2312" w:hAnsi="宋体" w:eastAsia="楷体_GB2312" w:cs="宋体"/>
                <w:sz w:val="24"/>
                <w:lang w:val="zh-CN"/>
              </w:rPr>
              <w:t>2</w:t>
            </w:r>
          </w:p>
        </w:tc>
        <w:tc>
          <w:tcPr>
            <w:tcW w:w="3060" w:type="dxa"/>
            <w:vAlign w:val="center"/>
          </w:tcPr>
          <w:p>
            <w:pPr>
              <w:spacing w:line="400" w:lineRule="exact"/>
              <w:jc w:val="center"/>
              <w:rPr>
                <w:rFonts w:ascii="楷体_GB2312" w:hAnsi="宋体" w:eastAsia="楷体_GB2312" w:cs="宋体"/>
                <w:sz w:val="24"/>
                <w:lang w:val="zh-CN"/>
              </w:rPr>
            </w:pPr>
            <w:r>
              <w:rPr>
                <w:rFonts w:hint="eastAsia" w:ascii="楷体_GB2312" w:hAnsi="宋体" w:eastAsia="楷体_GB2312" w:cs="宋体"/>
                <w:sz w:val="24"/>
                <w:lang w:val="zh-CN"/>
              </w:rPr>
              <w:t>免费维修</w:t>
            </w:r>
          </w:p>
        </w:tc>
        <w:tc>
          <w:tcPr>
            <w:tcW w:w="2052" w:type="dxa"/>
            <w:vAlign w:val="center"/>
          </w:tcPr>
          <w:p>
            <w:pPr>
              <w:spacing w:line="400" w:lineRule="exact"/>
              <w:jc w:val="center"/>
              <w:rPr>
                <w:rFonts w:ascii="楷体_GB2312" w:hAnsi="宋体" w:eastAsia="楷体_GB2312" w:cs="宋体"/>
                <w:sz w:val="24"/>
                <w:lang w:val="zh-CN"/>
              </w:rPr>
            </w:pPr>
          </w:p>
        </w:tc>
        <w:tc>
          <w:tcPr>
            <w:tcW w:w="2160" w:type="dxa"/>
            <w:vAlign w:val="center"/>
          </w:tcPr>
          <w:p>
            <w:pPr>
              <w:spacing w:line="400" w:lineRule="exact"/>
              <w:jc w:val="center"/>
              <w:rPr>
                <w:rFonts w:ascii="楷体_GB2312" w:hAnsi="宋体" w:eastAsia="楷体_GB2312"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828" w:type="dxa"/>
            <w:vAlign w:val="center"/>
          </w:tcPr>
          <w:p>
            <w:pPr>
              <w:spacing w:line="400" w:lineRule="exact"/>
              <w:jc w:val="center"/>
              <w:rPr>
                <w:rFonts w:ascii="楷体_GB2312" w:hAnsi="宋体" w:eastAsia="楷体_GB2312" w:cs="宋体"/>
                <w:sz w:val="24"/>
                <w:lang w:val="zh-CN"/>
              </w:rPr>
            </w:pPr>
            <w:r>
              <w:rPr>
                <w:rFonts w:hint="eastAsia" w:ascii="楷体_GB2312" w:hAnsi="宋体" w:eastAsia="楷体_GB2312" w:cs="宋体"/>
                <w:sz w:val="24"/>
                <w:lang w:val="zh-CN"/>
              </w:rPr>
              <w:t>3</w:t>
            </w:r>
          </w:p>
        </w:tc>
        <w:tc>
          <w:tcPr>
            <w:tcW w:w="3060" w:type="dxa"/>
            <w:vAlign w:val="center"/>
          </w:tcPr>
          <w:p>
            <w:pPr>
              <w:spacing w:line="400" w:lineRule="exact"/>
              <w:jc w:val="center"/>
              <w:rPr>
                <w:rFonts w:ascii="楷体_GB2312" w:hAnsi="宋体" w:eastAsia="楷体_GB2312" w:cs="宋体"/>
                <w:sz w:val="24"/>
                <w:lang w:val="zh-CN"/>
              </w:rPr>
            </w:pPr>
            <w:r>
              <w:rPr>
                <w:rFonts w:hint="eastAsia" w:ascii="楷体_GB2312" w:hAnsi="宋体" w:eastAsia="楷体_GB2312" w:cs="宋体"/>
                <w:sz w:val="24"/>
                <w:lang w:val="zh-CN"/>
              </w:rPr>
              <w:t>服务响应</w:t>
            </w:r>
          </w:p>
        </w:tc>
        <w:tc>
          <w:tcPr>
            <w:tcW w:w="2052" w:type="dxa"/>
            <w:vAlign w:val="center"/>
          </w:tcPr>
          <w:p>
            <w:pPr>
              <w:spacing w:line="400" w:lineRule="exact"/>
              <w:jc w:val="center"/>
              <w:rPr>
                <w:rFonts w:ascii="楷体_GB2312" w:hAnsi="宋体" w:eastAsia="楷体_GB2312" w:cs="宋体"/>
                <w:sz w:val="24"/>
                <w:lang w:val="zh-CN"/>
              </w:rPr>
            </w:pPr>
          </w:p>
        </w:tc>
        <w:tc>
          <w:tcPr>
            <w:tcW w:w="2160" w:type="dxa"/>
            <w:vAlign w:val="center"/>
          </w:tcPr>
          <w:p>
            <w:pPr>
              <w:spacing w:line="400" w:lineRule="exact"/>
              <w:jc w:val="center"/>
              <w:rPr>
                <w:rFonts w:ascii="楷体_GB2312" w:hAnsi="宋体" w:eastAsia="楷体_GB2312"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828" w:type="dxa"/>
            <w:vAlign w:val="center"/>
          </w:tcPr>
          <w:p>
            <w:pPr>
              <w:spacing w:line="400" w:lineRule="exact"/>
              <w:jc w:val="center"/>
              <w:rPr>
                <w:rFonts w:ascii="楷体_GB2312" w:hAnsi="宋体" w:eastAsia="楷体_GB2312" w:cs="宋体"/>
                <w:sz w:val="24"/>
                <w:lang w:val="zh-CN"/>
              </w:rPr>
            </w:pPr>
            <w:r>
              <w:rPr>
                <w:rFonts w:hint="eastAsia" w:ascii="楷体_GB2312" w:hAnsi="宋体" w:eastAsia="楷体_GB2312" w:cs="宋体"/>
                <w:sz w:val="24"/>
                <w:lang w:val="zh-CN"/>
              </w:rPr>
              <w:t>4</w:t>
            </w:r>
          </w:p>
        </w:tc>
        <w:tc>
          <w:tcPr>
            <w:tcW w:w="3060" w:type="dxa"/>
            <w:vAlign w:val="center"/>
          </w:tcPr>
          <w:p>
            <w:pPr>
              <w:spacing w:line="400" w:lineRule="exact"/>
              <w:jc w:val="center"/>
              <w:rPr>
                <w:rFonts w:ascii="楷体_GB2312" w:hAnsi="宋体" w:eastAsia="楷体_GB2312" w:cs="宋体"/>
                <w:sz w:val="24"/>
                <w:lang w:val="zh-CN"/>
              </w:rPr>
            </w:pPr>
            <w:r>
              <w:rPr>
                <w:rFonts w:hint="eastAsia" w:ascii="楷体_GB2312" w:hAnsi="宋体" w:eastAsia="楷体_GB2312" w:cs="宋体"/>
                <w:sz w:val="24"/>
                <w:lang w:val="zh-CN"/>
              </w:rPr>
              <w:t>到达现场</w:t>
            </w:r>
          </w:p>
        </w:tc>
        <w:tc>
          <w:tcPr>
            <w:tcW w:w="2052" w:type="dxa"/>
            <w:vAlign w:val="center"/>
          </w:tcPr>
          <w:p>
            <w:pPr>
              <w:spacing w:line="400" w:lineRule="exact"/>
              <w:jc w:val="center"/>
              <w:rPr>
                <w:rFonts w:ascii="楷体_GB2312" w:hAnsi="宋体" w:eastAsia="楷体_GB2312" w:cs="宋体"/>
                <w:sz w:val="24"/>
                <w:lang w:val="zh-CN"/>
              </w:rPr>
            </w:pPr>
          </w:p>
        </w:tc>
        <w:tc>
          <w:tcPr>
            <w:tcW w:w="2160" w:type="dxa"/>
            <w:vAlign w:val="center"/>
          </w:tcPr>
          <w:p>
            <w:pPr>
              <w:spacing w:line="400" w:lineRule="exact"/>
              <w:jc w:val="center"/>
              <w:rPr>
                <w:rFonts w:ascii="楷体_GB2312" w:hAnsi="宋体" w:eastAsia="楷体_GB2312"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828" w:type="dxa"/>
            <w:vAlign w:val="center"/>
          </w:tcPr>
          <w:p>
            <w:pPr>
              <w:spacing w:line="400" w:lineRule="exact"/>
              <w:jc w:val="center"/>
              <w:rPr>
                <w:rFonts w:ascii="楷体_GB2312" w:hAnsi="宋体" w:eastAsia="楷体_GB2312" w:cs="宋体"/>
                <w:sz w:val="24"/>
                <w:lang w:val="zh-CN"/>
              </w:rPr>
            </w:pPr>
            <w:r>
              <w:rPr>
                <w:rFonts w:hint="eastAsia" w:ascii="楷体_GB2312" w:hAnsi="宋体" w:eastAsia="楷体_GB2312" w:cs="宋体"/>
                <w:sz w:val="24"/>
                <w:lang w:val="zh-CN"/>
              </w:rPr>
              <w:t>5</w:t>
            </w:r>
          </w:p>
        </w:tc>
        <w:tc>
          <w:tcPr>
            <w:tcW w:w="3060" w:type="dxa"/>
            <w:vAlign w:val="center"/>
          </w:tcPr>
          <w:p>
            <w:pPr>
              <w:spacing w:line="400" w:lineRule="exact"/>
              <w:jc w:val="center"/>
              <w:rPr>
                <w:rFonts w:ascii="楷体_GB2312" w:hAnsi="宋体" w:eastAsia="楷体_GB2312" w:cs="宋体"/>
                <w:sz w:val="24"/>
                <w:lang w:val="zh-CN"/>
              </w:rPr>
            </w:pPr>
            <w:r>
              <w:rPr>
                <w:rFonts w:hint="eastAsia" w:ascii="楷体_GB2312" w:hAnsi="宋体" w:eastAsia="楷体_GB2312" w:cs="宋体"/>
                <w:sz w:val="24"/>
                <w:lang w:val="zh-CN"/>
              </w:rPr>
              <w:t>解决问题</w:t>
            </w:r>
          </w:p>
        </w:tc>
        <w:tc>
          <w:tcPr>
            <w:tcW w:w="2052" w:type="dxa"/>
            <w:vAlign w:val="center"/>
          </w:tcPr>
          <w:p>
            <w:pPr>
              <w:spacing w:line="400" w:lineRule="exact"/>
              <w:jc w:val="center"/>
              <w:rPr>
                <w:rFonts w:ascii="楷体_GB2312" w:hAnsi="宋体" w:eastAsia="楷体_GB2312" w:cs="宋体"/>
                <w:sz w:val="24"/>
                <w:lang w:val="zh-CN"/>
              </w:rPr>
            </w:pPr>
          </w:p>
        </w:tc>
        <w:tc>
          <w:tcPr>
            <w:tcW w:w="2160" w:type="dxa"/>
            <w:vAlign w:val="center"/>
          </w:tcPr>
          <w:p>
            <w:pPr>
              <w:spacing w:line="400" w:lineRule="exact"/>
              <w:jc w:val="center"/>
              <w:rPr>
                <w:rFonts w:ascii="楷体_GB2312" w:hAnsi="宋体" w:eastAsia="楷体_GB2312"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828" w:type="dxa"/>
            <w:vAlign w:val="center"/>
          </w:tcPr>
          <w:p>
            <w:pPr>
              <w:spacing w:line="400" w:lineRule="exact"/>
              <w:jc w:val="center"/>
              <w:rPr>
                <w:rFonts w:ascii="楷体_GB2312" w:hAnsi="宋体" w:eastAsia="楷体_GB2312" w:cs="宋体"/>
                <w:sz w:val="24"/>
              </w:rPr>
            </w:pPr>
            <w:r>
              <w:rPr>
                <w:rFonts w:hint="eastAsia" w:ascii="楷体_GB2312" w:hAnsi="宋体" w:eastAsia="楷体_GB2312" w:cs="宋体"/>
                <w:sz w:val="24"/>
              </w:rPr>
              <w:t>...</w:t>
            </w:r>
          </w:p>
        </w:tc>
        <w:tc>
          <w:tcPr>
            <w:tcW w:w="3060" w:type="dxa"/>
            <w:vAlign w:val="center"/>
          </w:tcPr>
          <w:p>
            <w:pPr>
              <w:spacing w:line="400" w:lineRule="exact"/>
              <w:jc w:val="center"/>
              <w:rPr>
                <w:rFonts w:ascii="楷体_GB2312" w:hAnsi="宋体" w:eastAsia="楷体_GB2312" w:cs="宋体"/>
                <w:sz w:val="24"/>
              </w:rPr>
            </w:pPr>
            <w:r>
              <w:rPr>
                <w:rFonts w:hint="eastAsia" w:ascii="楷体_GB2312" w:hAnsi="宋体" w:eastAsia="楷体_GB2312" w:cs="宋体"/>
                <w:sz w:val="24"/>
              </w:rPr>
              <w:t>...</w:t>
            </w:r>
          </w:p>
        </w:tc>
        <w:tc>
          <w:tcPr>
            <w:tcW w:w="2052" w:type="dxa"/>
            <w:vAlign w:val="center"/>
          </w:tcPr>
          <w:p>
            <w:pPr>
              <w:spacing w:line="400" w:lineRule="exact"/>
              <w:jc w:val="center"/>
              <w:rPr>
                <w:rFonts w:ascii="楷体_GB2312" w:hAnsi="宋体" w:eastAsia="楷体_GB2312" w:cs="宋体"/>
                <w:sz w:val="24"/>
              </w:rPr>
            </w:pPr>
            <w:r>
              <w:rPr>
                <w:rFonts w:hint="eastAsia" w:ascii="楷体_GB2312" w:hAnsi="宋体" w:eastAsia="楷体_GB2312" w:cs="宋体"/>
                <w:sz w:val="24"/>
              </w:rPr>
              <w:t>...</w:t>
            </w:r>
          </w:p>
        </w:tc>
        <w:tc>
          <w:tcPr>
            <w:tcW w:w="2160" w:type="dxa"/>
            <w:vAlign w:val="center"/>
          </w:tcPr>
          <w:p>
            <w:pPr>
              <w:spacing w:line="400" w:lineRule="exact"/>
              <w:jc w:val="center"/>
              <w:rPr>
                <w:rFonts w:ascii="楷体_GB2312" w:hAnsi="宋体" w:eastAsia="楷体_GB2312" w:cs="宋体"/>
                <w:sz w:val="24"/>
              </w:rPr>
            </w:pPr>
            <w:r>
              <w:rPr>
                <w:rFonts w:hint="eastAsia" w:ascii="楷体_GB2312" w:hAnsi="宋体" w:eastAsia="楷体_GB2312" w:cs="宋体"/>
                <w:sz w:val="24"/>
              </w:rPr>
              <w:t>...</w:t>
            </w:r>
          </w:p>
        </w:tc>
      </w:tr>
    </w:tbl>
    <w:p>
      <w:pPr>
        <w:spacing w:line="480" w:lineRule="auto"/>
        <w:rPr>
          <w:rFonts w:ascii="楷体_GB2312" w:hAnsi="宋体" w:eastAsia="楷体_GB2312" w:cs="宋体"/>
          <w:sz w:val="24"/>
          <w:lang w:val="zh-CN"/>
        </w:rPr>
      </w:pPr>
      <w:r>
        <w:rPr>
          <w:rFonts w:hint="eastAsia" w:ascii="楷体_GB2312" w:hAnsi="宋体" w:eastAsia="楷体_GB2312" w:cs="宋体"/>
          <w:sz w:val="24"/>
          <w:lang w:val="zh-CN"/>
        </w:rPr>
        <w:t>注：1、上述1、2条请明确期限，3、4、5条请明确时间；</w:t>
      </w:r>
    </w:p>
    <w:p>
      <w:pPr>
        <w:spacing w:line="480" w:lineRule="auto"/>
        <w:rPr>
          <w:rFonts w:ascii="楷体_GB2312" w:hAnsi="宋体" w:eastAsia="楷体_GB2312" w:cs="宋体"/>
          <w:sz w:val="24"/>
          <w:lang w:val="zh-CN"/>
        </w:rPr>
      </w:pPr>
      <w:r>
        <w:rPr>
          <w:rFonts w:hint="eastAsia" w:ascii="楷体_GB2312" w:hAnsi="宋体" w:eastAsia="楷体_GB2312" w:cs="宋体"/>
          <w:sz w:val="24"/>
          <w:lang w:val="zh-CN"/>
        </w:rPr>
        <w:t>2、免费更换，是指产品出现质量问题后直接更换全新产品。</w:t>
      </w:r>
    </w:p>
    <w:p>
      <w:pPr>
        <w:spacing w:line="480" w:lineRule="auto"/>
        <w:rPr>
          <w:rFonts w:ascii="楷体_GB2312" w:hAnsi="宋体" w:eastAsia="楷体_GB2312" w:cs="宋体"/>
          <w:sz w:val="24"/>
          <w:lang w:val="zh-CN"/>
        </w:rPr>
      </w:pPr>
      <w:r>
        <w:rPr>
          <w:rFonts w:hint="eastAsia" w:ascii="楷体_GB2312" w:hAnsi="宋体" w:eastAsia="楷体_GB2312" w:cs="宋体"/>
          <w:sz w:val="24"/>
          <w:lang w:val="zh-CN"/>
        </w:rPr>
        <w:t>3、免费维修，包括人工、配件、材料等一切费用，在免费维修期内，产品经维修后仍无法正常使用的必须更换全新产品。</w:t>
      </w:r>
    </w:p>
    <w:p>
      <w:pPr>
        <w:spacing w:line="480" w:lineRule="auto"/>
        <w:rPr>
          <w:rFonts w:ascii="楷体_GB2312" w:hAnsi="宋体" w:eastAsia="楷体_GB2312" w:cs="宋体"/>
          <w:sz w:val="24"/>
          <w:lang w:val="zh-CN"/>
        </w:rPr>
      </w:pPr>
      <w:r>
        <w:rPr>
          <w:rFonts w:hint="eastAsia" w:ascii="楷体_GB2312" w:hAnsi="宋体" w:eastAsia="楷体_GB2312" w:cs="宋体"/>
          <w:sz w:val="24"/>
          <w:lang w:val="zh-CN"/>
        </w:rPr>
        <w:t>4、针对服务内容有必须说明的事项，请在“备注”栏目内注明；</w:t>
      </w:r>
    </w:p>
    <w:p>
      <w:pPr>
        <w:spacing w:line="480" w:lineRule="auto"/>
        <w:rPr>
          <w:rFonts w:ascii="楷体_GB2312" w:hAnsi="宋体" w:eastAsia="楷体_GB2312" w:cs="宋体"/>
          <w:sz w:val="24"/>
          <w:lang w:val="zh-CN"/>
        </w:rPr>
      </w:pPr>
      <w:r>
        <w:rPr>
          <w:rFonts w:hint="eastAsia" w:ascii="楷体_GB2312" w:hAnsi="宋体" w:eastAsia="楷体_GB2312" w:cs="宋体"/>
          <w:sz w:val="24"/>
          <w:lang w:val="zh-CN"/>
        </w:rPr>
        <w:t>5、如有其它售后服务内容，可自行参照填写。</w:t>
      </w:r>
    </w:p>
    <w:p>
      <w:pPr>
        <w:spacing w:line="400" w:lineRule="exact"/>
        <w:rPr>
          <w:rFonts w:ascii="楷体_GB2312" w:hAnsi="宋体" w:eastAsia="楷体_GB2312" w:cs="宋体"/>
          <w:sz w:val="24"/>
          <w:lang w:val="zh-CN"/>
        </w:rPr>
      </w:pPr>
    </w:p>
    <w:p>
      <w:pPr>
        <w:spacing w:line="360" w:lineRule="auto"/>
        <w:rPr>
          <w:rFonts w:ascii="楷体_GB2312" w:hAnsi="宋体" w:eastAsia="楷体_GB2312" w:cs="宋体"/>
          <w:sz w:val="24"/>
          <w:lang w:val="zh-CN"/>
        </w:rPr>
      </w:pPr>
      <w:r>
        <w:rPr>
          <w:rFonts w:hint="eastAsia" w:ascii="楷体_GB2312" w:hAnsi="宋体" w:eastAsia="楷体_GB2312" w:cs="宋体"/>
          <w:sz w:val="24"/>
          <w:lang w:val="zh-CN"/>
        </w:rPr>
        <w:t>报价单位（公章）：</w:t>
      </w:r>
    </w:p>
    <w:p>
      <w:pPr>
        <w:spacing w:line="360" w:lineRule="auto"/>
        <w:rPr>
          <w:rFonts w:ascii="楷体_GB2312" w:hAnsi="宋体" w:eastAsia="楷体_GB2312" w:cs="宋体"/>
          <w:sz w:val="24"/>
          <w:lang w:val="zh-CN"/>
        </w:rPr>
      </w:pPr>
      <w:r>
        <w:rPr>
          <w:rFonts w:hint="eastAsia" w:ascii="楷体_GB2312" w:hAnsi="宋体" w:eastAsia="楷体_GB2312" w:cs="宋体"/>
          <w:sz w:val="24"/>
          <w:lang w:val="zh-CN"/>
        </w:rPr>
        <w:t>法定代表人或被授权人(签名或盖章)：</w:t>
      </w:r>
    </w:p>
    <w:p>
      <w:pPr>
        <w:spacing w:line="360" w:lineRule="auto"/>
        <w:rPr>
          <w:rFonts w:ascii="楷体_GB2312" w:hAnsi="宋体" w:eastAsia="楷体_GB2312" w:cs="宋体"/>
          <w:sz w:val="24"/>
          <w:lang w:val="zh-CN"/>
        </w:rPr>
      </w:pPr>
      <w:r>
        <w:rPr>
          <w:rFonts w:hint="eastAsia" w:ascii="楷体_GB2312" w:hAnsi="宋体" w:eastAsia="楷体_GB2312" w:cs="宋体"/>
          <w:sz w:val="24"/>
          <w:lang w:val="zh-CN"/>
        </w:rPr>
        <w:t>日期：        年     月     日</w:t>
      </w:r>
    </w:p>
    <w:p>
      <w:pPr>
        <w:pageBreakBefore/>
        <w:spacing w:line="400" w:lineRule="exact"/>
        <w:jc w:val="center"/>
        <w:rPr>
          <w:rFonts w:ascii="楷体_GB2312" w:hAnsi="宋体" w:eastAsia="楷体_GB2312"/>
          <w:b/>
          <w:sz w:val="18"/>
          <w:szCs w:val="18"/>
          <w:lang w:val="zh-CN"/>
        </w:rPr>
      </w:pPr>
      <w:r>
        <w:rPr>
          <w:rFonts w:hint="eastAsia" w:ascii="楷体_GB2312" w:hAnsi="宋体" w:eastAsia="楷体_GB2312"/>
          <w:b/>
          <w:sz w:val="32"/>
          <w:szCs w:val="32"/>
          <w:lang w:val="zh-CN"/>
        </w:rPr>
        <w:t>五、资格证明文件</w:t>
      </w:r>
      <w:bookmarkEnd w:id="1"/>
      <w:bookmarkEnd w:id="2"/>
      <w:bookmarkEnd w:id="3"/>
      <w:bookmarkEnd w:id="4"/>
      <w:bookmarkEnd w:id="5"/>
      <w:bookmarkEnd w:id="6"/>
      <w:bookmarkEnd w:id="7"/>
    </w:p>
    <w:p>
      <w:pPr>
        <w:spacing w:line="400" w:lineRule="exact"/>
        <w:rPr>
          <w:rFonts w:ascii="楷体_GB2312" w:hAnsi="宋体" w:eastAsia="楷体_GB2312"/>
          <w:b/>
          <w:sz w:val="18"/>
          <w:szCs w:val="18"/>
          <w:lang w:val="zh-CN"/>
        </w:rPr>
      </w:pPr>
    </w:p>
    <w:p>
      <w:pPr>
        <w:spacing w:line="480" w:lineRule="auto"/>
        <w:rPr>
          <w:rFonts w:ascii="楷体_GB2312" w:hAnsi="宋体" w:eastAsia="楷体_GB2312"/>
          <w:sz w:val="24"/>
          <w:szCs w:val="20"/>
        </w:rPr>
      </w:pPr>
      <w:r>
        <w:rPr>
          <w:rFonts w:hint="eastAsia" w:ascii="楷体_GB2312" w:hAnsi="宋体" w:eastAsia="楷体_GB2312"/>
          <w:sz w:val="24"/>
          <w:szCs w:val="20"/>
        </w:rPr>
        <w:t xml:space="preserve">    1、根据询价文件要求自行拟定包含但不仅限于营业执照、资质条件证书等各类资质证书等必要证明文件。</w:t>
      </w:r>
    </w:p>
    <w:p>
      <w:pPr>
        <w:spacing w:line="480" w:lineRule="auto"/>
        <w:ind w:firstLine="480" w:firstLineChars="200"/>
        <w:rPr>
          <w:rFonts w:ascii="楷体_GB2312" w:hAnsi="宋体" w:eastAsia="楷体_GB2312"/>
          <w:sz w:val="24"/>
          <w:szCs w:val="20"/>
        </w:rPr>
      </w:pPr>
      <w:r>
        <w:rPr>
          <w:rFonts w:hint="eastAsia" w:ascii="楷体_GB2312" w:hAnsi="宋体" w:eastAsia="楷体_GB2312"/>
          <w:sz w:val="24"/>
          <w:szCs w:val="20"/>
        </w:rPr>
        <w:t>2、依照法律、行政法规、地方性法规、行政许可的强制性规定，生产、销售产品和产品本身需要取得许可证照或者需要经过认证的，提供相关许可和认证证书复印件。列入节能产品政府采购清单的报价产品，请列出产品所在文号、页码，并复印该页附在技术文件中。</w:t>
      </w:r>
    </w:p>
    <w:p>
      <w:pPr>
        <w:spacing w:line="360" w:lineRule="auto"/>
        <w:rPr>
          <w:rFonts w:ascii="楷体_GB2312" w:hAnsi="宋体" w:eastAsia="楷体_GB2312"/>
          <w:sz w:val="24"/>
          <w:szCs w:val="20"/>
        </w:rPr>
      </w:pPr>
    </w:p>
    <w:p>
      <w:pPr>
        <w:spacing w:line="360" w:lineRule="auto"/>
        <w:rPr>
          <w:rFonts w:ascii="楷体_GB2312" w:hAnsi="宋体" w:eastAsia="楷体_GB2312"/>
          <w:sz w:val="24"/>
          <w:szCs w:val="20"/>
        </w:rPr>
      </w:pPr>
    </w:p>
    <w:p>
      <w:pPr>
        <w:spacing w:line="360" w:lineRule="auto"/>
        <w:rPr>
          <w:rFonts w:ascii="楷体_GB2312" w:hAnsi="宋体" w:eastAsia="楷体_GB2312"/>
          <w:sz w:val="24"/>
          <w:szCs w:val="20"/>
        </w:rPr>
      </w:pPr>
    </w:p>
    <w:p>
      <w:pPr>
        <w:spacing w:line="360" w:lineRule="auto"/>
        <w:rPr>
          <w:rFonts w:ascii="楷体_GB2312" w:hAnsi="宋体" w:eastAsia="楷体_GB2312"/>
          <w:sz w:val="24"/>
          <w:szCs w:val="20"/>
        </w:rPr>
      </w:pPr>
    </w:p>
    <w:p>
      <w:pPr>
        <w:spacing w:line="360" w:lineRule="auto"/>
        <w:rPr>
          <w:rFonts w:ascii="楷体_GB2312" w:hAnsi="宋体" w:eastAsia="楷体_GB2312"/>
          <w:sz w:val="24"/>
          <w:szCs w:val="20"/>
        </w:rPr>
      </w:pPr>
    </w:p>
    <w:p>
      <w:pPr>
        <w:spacing w:line="360" w:lineRule="auto"/>
        <w:rPr>
          <w:rFonts w:ascii="楷体_GB2312" w:hAnsi="宋体" w:eastAsia="楷体_GB2312"/>
          <w:sz w:val="24"/>
          <w:szCs w:val="20"/>
        </w:rPr>
      </w:pPr>
    </w:p>
    <w:p>
      <w:pPr>
        <w:spacing w:line="360" w:lineRule="auto"/>
        <w:rPr>
          <w:rFonts w:ascii="楷体_GB2312" w:hAnsi="宋体" w:eastAsia="楷体_GB2312"/>
          <w:sz w:val="24"/>
          <w:szCs w:val="20"/>
        </w:rPr>
      </w:pPr>
    </w:p>
    <w:p>
      <w:pPr>
        <w:spacing w:line="360" w:lineRule="auto"/>
        <w:rPr>
          <w:rFonts w:ascii="楷体_GB2312" w:hAnsi="宋体" w:eastAsia="楷体_GB2312"/>
          <w:sz w:val="24"/>
          <w:szCs w:val="20"/>
        </w:rPr>
      </w:pPr>
    </w:p>
    <w:p>
      <w:pPr>
        <w:spacing w:line="360" w:lineRule="auto"/>
        <w:rPr>
          <w:rFonts w:ascii="楷体_GB2312" w:hAnsi="宋体" w:eastAsia="楷体_GB2312"/>
          <w:sz w:val="24"/>
          <w:szCs w:val="20"/>
        </w:rPr>
      </w:pPr>
    </w:p>
    <w:p>
      <w:pPr>
        <w:spacing w:line="360" w:lineRule="auto"/>
        <w:rPr>
          <w:rFonts w:ascii="楷体_GB2312" w:hAnsi="宋体" w:eastAsia="楷体_GB2312"/>
          <w:sz w:val="24"/>
          <w:szCs w:val="20"/>
        </w:rPr>
      </w:pPr>
    </w:p>
    <w:p>
      <w:pPr>
        <w:spacing w:line="360" w:lineRule="auto"/>
        <w:rPr>
          <w:rFonts w:ascii="楷体_GB2312" w:hAnsi="宋体" w:eastAsia="楷体_GB2312"/>
          <w:sz w:val="24"/>
          <w:szCs w:val="20"/>
        </w:rPr>
      </w:pPr>
    </w:p>
    <w:p>
      <w:pPr>
        <w:spacing w:line="360" w:lineRule="auto"/>
        <w:rPr>
          <w:rFonts w:ascii="楷体_GB2312" w:hAnsi="宋体" w:eastAsia="楷体_GB2312"/>
          <w:sz w:val="24"/>
          <w:szCs w:val="20"/>
        </w:rPr>
      </w:pPr>
    </w:p>
    <w:p>
      <w:pPr>
        <w:spacing w:line="360" w:lineRule="auto"/>
        <w:rPr>
          <w:rFonts w:ascii="楷体_GB2312" w:hAnsi="宋体" w:eastAsia="楷体_GB2312"/>
          <w:sz w:val="24"/>
          <w:szCs w:val="20"/>
        </w:rPr>
      </w:pPr>
    </w:p>
    <w:p>
      <w:pPr>
        <w:spacing w:line="360" w:lineRule="auto"/>
        <w:rPr>
          <w:rFonts w:ascii="楷体_GB2312" w:hAnsi="宋体" w:eastAsia="楷体_GB2312"/>
          <w:sz w:val="24"/>
          <w:szCs w:val="20"/>
        </w:rPr>
      </w:pPr>
    </w:p>
    <w:p>
      <w:pPr>
        <w:spacing w:line="360" w:lineRule="auto"/>
        <w:rPr>
          <w:rFonts w:ascii="楷体_GB2312" w:hAnsi="宋体" w:eastAsia="楷体_GB2312"/>
          <w:sz w:val="24"/>
          <w:szCs w:val="20"/>
        </w:rPr>
      </w:pPr>
    </w:p>
    <w:p>
      <w:pPr>
        <w:pageBreakBefore/>
        <w:autoSpaceDE w:val="0"/>
        <w:autoSpaceDN w:val="0"/>
        <w:adjustRightInd w:val="0"/>
        <w:spacing w:line="360" w:lineRule="auto"/>
        <w:jc w:val="center"/>
        <w:rPr>
          <w:rFonts w:ascii="楷体_GB2312" w:hAnsi="宋体" w:eastAsia="楷体_GB2312"/>
          <w:b/>
          <w:sz w:val="18"/>
          <w:szCs w:val="18"/>
          <w:lang w:val="zh-CN"/>
        </w:rPr>
      </w:pPr>
      <w:r>
        <w:rPr>
          <w:rFonts w:hint="eastAsia" w:ascii="楷体_GB2312" w:hAnsi="宋体" w:eastAsia="楷体_GB2312"/>
          <w:b/>
          <w:sz w:val="30"/>
          <w:szCs w:val="30"/>
          <w:lang w:val="zh-CN"/>
        </w:rPr>
        <w:t>六、报价单位资格承诺书</w:t>
      </w:r>
    </w:p>
    <w:p>
      <w:pPr>
        <w:autoSpaceDE w:val="0"/>
        <w:autoSpaceDN w:val="0"/>
        <w:adjustRightInd w:val="0"/>
        <w:spacing w:line="360" w:lineRule="auto"/>
        <w:rPr>
          <w:rFonts w:ascii="楷体_GB2312" w:hAnsi="宋体" w:eastAsia="楷体_GB2312"/>
          <w:b/>
          <w:sz w:val="18"/>
          <w:szCs w:val="18"/>
          <w:lang w:val="zh-CN"/>
        </w:rPr>
      </w:pPr>
    </w:p>
    <w:p>
      <w:pPr>
        <w:autoSpaceDE w:val="0"/>
        <w:autoSpaceDN w:val="0"/>
        <w:adjustRightInd w:val="0"/>
        <w:spacing w:line="360" w:lineRule="auto"/>
        <w:rPr>
          <w:rFonts w:ascii="楷体_GB2312" w:hAnsi="宋体" w:eastAsia="楷体_GB2312"/>
          <w:b/>
          <w:sz w:val="30"/>
          <w:szCs w:val="30"/>
          <w:lang w:val="zh-CN"/>
        </w:rPr>
      </w:pPr>
      <w:r>
        <w:rPr>
          <w:rFonts w:hint="eastAsia" w:ascii="楷体_GB2312" w:hAnsi="宋体" w:eastAsia="楷体_GB2312"/>
          <w:szCs w:val="21"/>
          <w:lang w:val="zh-CN"/>
        </w:rPr>
        <w:t>项目名称：</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500"/>
        <w:gridCol w:w="2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828" w:type="dxa"/>
            <w:vAlign w:val="center"/>
          </w:tcPr>
          <w:p>
            <w:pPr>
              <w:autoSpaceDE w:val="0"/>
              <w:autoSpaceDN w:val="0"/>
              <w:adjustRightInd w:val="0"/>
              <w:jc w:val="center"/>
              <w:rPr>
                <w:rFonts w:ascii="楷体_GB2312" w:hAnsi="宋体" w:eastAsia="楷体_GB2312"/>
                <w:szCs w:val="21"/>
                <w:lang w:val="zh-CN"/>
              </w:rPr>
            </w:pPr>
            <w:r>
              <w:rPr>
                <w:rFonts w:hint="eastAsia" w:ascii="楷体_GB2312" w:hAnsi="宋体" w:eastAsia="楷体_GB2312"/>
                <w:szCs w:val="21"/>
                <w:lang w:val="zh-CN"/>
              </w:rPr>
              <w:t>序号</w:t>
            </w:r>
          </w:p>
        </w:tc>
        <w:tc>
          <w:tcPr>
            <w:tcW w:w="4500" w:type="dxa"/>
            <w:vAlign w:val="center"/>
          </w:tcPr>
          <w:p>
            <w:pPr>
              <w:autoSpaceDE w:val="0"/>
              <w:autoSpaceDN w:val="0"/>
              <w:adjustRightInd w:val="0"/>
              <w:jc w:val="center"/>
              <w:rPr>
                <w:rFonts w:ascii="楷体_GB2312" w:hAnsi="宋体" w:eastAsia="楷体_GB2312"/>
                <w:szCs w:val="21"/>
                <w:lang w:val="zh-CN"/>
              </w:rPr>
            </w:pPr>
            <w:r>
              <w:rPr>
                <w:rFonts w:hint="eastAsia" w:ascii="楷体_GB2312" w:hAnsi="宋体" w:eastAsia="楷体_GB2312"/>
                <w:szCs w:val="21"/>
                <w:lang w:val="zh-CN"/>
              </w:rPr>
              <w:t>报价单位部分资格要求</w:t>
            </w:r>
          </w:p>
        </w:tc>
        <w:tc>
          <w:tcPr>
            <w:tcW w:w="2976" w:type="dxa"/>
            <w:vAlign w:val="center"/>
          </w:tcPr>
          <w:p>
            <w:pPr>
              <w:autoSpaceDE w:val="0"/>
              <w:autoSpaceDN w:val="0"/>
              <w:adjustRightInd w:val="0"/>
              <w:jc w:val="center"/>
              <w:rPr>
                <w:rFonts w:ascii="楷体_GB2312" w:hAnsi="宋体" w:eastAsia="楷体_GB2312"/>
                <w:szCs w:val="21"/>
                <w:lang w:val="zh-CN"/>
              </w:rPr>
            </w:pPr>
            <w:r>
              <w:rPr>
                <w:rFonts w:hint="eastAsia" w:ascii="楷体_GB2312" w:hAnsi="宋体" w:eastAsia="楷体_GB2312"/>
                <w:szCs w:val="21"/>
                <w:lang w:val="zh-CN"/>
              </w:rPr>
              <w:t>是否完全响应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28" w:type="dxa"/>
            <w:vAlign w:val="center"/>
          </w:tcPr>
          <w:p>
            <w:pPr>
              <w:autoSpaceDE w:val="0"/>
              <w:autoSpaceDN w:val="0"/>
              <w:adjustRightInd w:val="0"/>
              <w:jc w:val="center"/>
              <w:rPr>
                <w:rFonts w:ascii="楷体_GB2312" w:hAnsi="宋体" w:eastAsia="楷体_GB2312"/>
                <w:szCs w:val="21"/>
                <w:lang w:val="zh-CN"/>
              </w:rPr>
            </w:pPr>
            <w:r>
              <w:rPr>
                <w:rFonts w:hint="eastAsia" w:ascii="楷体_GB2312" w:hAnsi="宋体" w:eastAsia="楷体_GB2312"/>
                <w:szCs w:val="21"/>
                <w:lang w:val="zh-CN"/>
              </w:rPr>
              <w:t>1</w:t>
            </w:r>
          </w:p>
        </w:tc>
        <w:tc>
          <w:tcPr>
            <w:tcW w:w="4500" w:type="dxa"/>
            <w:vAlign w:val="center"/>
          </w:tcPr>
          <w:p>
            <w:pPr>
              <w:autoSpaceDE w:val="0"/>
              <w:autoSpaceDN w:val="0"/>
              <w:adjustRightInd w:val="0"/>
              <w:rPr>
                <w:rFonts w:ascii="楷体_GB2312" w:hAnsi="宋体" w:eastAsia="楷体_GB2312"/>
                <w:szCs w:val="21"/>
                <w:lang w:val="zh-CN"/>
              </w:rPr>
            </w:pPr>
            <w:r>
              <w:rPr>
                <w:rFonts w:hint="eastAsia" w:ascii="楷体_GB2312" w:hAnsi="宋体" w:eastAsia="楷体_GB2312"/>
                <w:szCs w:val="21"/>
              </w:rPr>
              <w:t>具有独立承担民事责任的能力；</w:t>
            </w:r>
          </w:p>
        </w:tc>
        <w:tc>
          <w:tcPr>
            <w:tcW w:w="2976" w:type="dxa"/>
            <w:vAlign w:val="center"/>
          </w:tcPr>
          <w:p>
            <w:pPr>
              <w:autoSpaceDE w:val="0"/>
              <w:autoSpaceDN w:val="0"/>
              <w:adjustRightInd w:val="0"/>
              <w:jc w:val="center"/>
              <w:rPr>
                <w:rFonts w:ascii="楷体_GB2312" w:hAnsi="宋体" w:eastAsia="楷体_GB2312"/>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28" w:type="dxa"/>
            <w:vAlign w:val="center"/>
          </w:tcPr>
          <w:p>
            <w:pPr>
              <w:autoSpaceDE w:val="0"/>
              <w:autoSpaceDN w:val="0"/>
              <w:adjustRightInd w:val="0"/>
              <w:jc w:val="center"/>
              <w:rPr>
                <w:rFonts w:ascii="楷体_GB2312" w:hAnsi="宋体" w:eastAsia="楷体_GB2312"/>
                <w:szCs w:val="21"/>
                <w:lang w:val="zh-CN"/>
              </w:rPr>
            </w:pPr>
            <w:r>
              <w:rPr>
                <w:rFonts w:hint="eastAsia" w:ascii="楷体_GB2312" w:hAnsi="宋体" w:eastAsia="楷体_GB2312"/>
                <w:szCs w:val="21"/>
                <w:lang w:val="zh-CN"/>
              </w:rPr>
              <w:t>2</w:t>
            </w:r>
          </w:p>
        </w:tc>
        <w:tc>
          <w:tcPr>
            <w:tcW w:w="4500" w:type="dxa"/>
            <w:vAlign w:val="center"/>
          </w:tcPr>
          <w:p>
            <w:pPr>
              <w:autoSpaceDE w:val="0"/>
              <w:autoSpaceDN w:val="0"/>
              <w:adjustRightInd w:val="0"/>
              <w:rPr>
                <w:rFonts w:ascii="楷体_GB2312" w:hAnsi="宋体" w:eastAsia="楷体_GB2312"/>
                <w:szCs w:val="21"/>
                <w:lang w:val="zh-CN"/>
              </w:rPr>
            </w:pPr>
            <w:r>
              <w:rPr>
                <w:rFonts w:hint="eastAsia" w:ascii="楷体_GB2312" w:hAnsi="宋体" w:eastAsia="楷体_GB2312"/>
                <w:szCs w:val="21"/>
              </w:rPr>
              <w:t>具有良好的商业信誉和健全的财务会计制度；</w:t>
            </w:r>
          </w:p>
        </w:tc>
        <w:tc>
          <w:tcPr>
            <w:tcW w:w="2976" w:type="dxa"/>
            <w:vAlign w:val="center"/>
          </w:tcPr>
          <w:p>
            <w:pPr>
              <w:autoSpaceDE w:val="0"/>
              <w:autoSpaceDN w:val="0"/>
              <w:adjustRightInd w:val="0"/>
              <w:jc w:val="center"/>
              <w:rPr>
                <w:rFonts w:ascii="楷体_GB2312" w:hAnsi="宋体" w:eastAsia="楷体_GB2312"/>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28" w:type="dxa"/>
            <w:vAlign w:val="center"/>
          </w:tcPr>
          <w:p>
            <w:pPr>
              <w:autoSpaceDE w:val="0"/>
              <w:autoSpaceDN w:val="0"/>
              <w:adjustRightInd w:val="0"/>
              <w:jc w:val="center"/>
              <w:rPr>
                <w:rFonts w:ascii="楷体_GB2312" w:hAnsi="宋体" w:eastAsia="楷体_GB2312"/>
                <w:szCs w:val="21"/>
                <w:lang w:val="zh-CN"/>
              </w:rPr>
            </w:pPr>
            <w:r>
              <w:rPr>
                <w:rFonts w:hint="eastAsia" w:ascii="楷体_GB2312" w:hAnsi="宋体" w:eastAsia="楷体_GB2312"/>
                <w:szCs w:val="21"/>
                <w:lang w:val="zh-CN"/>
              </w:rPr>
              <w:t>3</w:t>
            </w:r>
          </w:p>
        </w:tc>
        <w:tc>
          <w:tcPr>
            <w:tcW w:w="4500" w:type="dxa"/>
            <w:vAlign w:val="center"/>
          </w:tcPr>
          <w:p>
            <w:pPr>
              <w:autoSpaceDE w:val="0"/>
              <w:autoSpaceDN w:val="0"/>
              <w:adjustRightInd w:val="0"/>
              <w:rPr>
                <w:rFonts w:ascii="楷体_GB2312" w:hAnsi="宋体" w:eastAsia="楷体_GB2312"/>
                <w:szCs w:val="21"/>
                <w:lang w:val="zh-CN"/>
              </w:rPr>
            </w:pPr>
            <w:r>
              <w:rPr>
                <w:rFonts w:hint="eastAsia" w:ascii="楷体_GB2312" w:hAnsi="宋体" w:eastAsia="楷体_GB2312"/>
                <w:szCs w:val="21"/>
              </w:rPr>
              <w:t>具有履行合同所必需的设备和专业技术能力；</w:t>
            </w:r>
          </w:p>
        </w:tc>
        <w:tc>
          <w:tcPr>
            <w:tcW w:w="2976" w:type="dxa"/>
            <w:vAlign w:val="center"/>
          </w:tcPr>
          <w:p>
            <w:pPr>
              <w:autoSpaceDE w:val="0"/>
              <w:autoSpaceDN w:val="0"/>
              <w:adjustRightInd w:val="0"/>
              <w:jc w:val="center"/>
              <w:rPr>
                <w:rFonts w:ascii="楷体_GB2312" w:hAnsi="宋体" w:eastAsia="楷体_GB2312"/>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28" w:type="dxa"/>
            <w:vAlign w:val="center"/>
          </w:tcPr>
          <w:p>
            <w:pPr>
              <w:autoSpaceDE w:val="0"/>
              <w:autoSpaceDN w:val="0"/>
              <w:adjustRightInd w:val="0"/>
              <w:jc w:val="center"/>
              <w:rPr>
                <w:rFonts w:ascii="楷体_GB2312" w:hAnsi="宋体" w:eastAsia="楷体_GB2312"/>
                <w:szCs w:val="21"/>
                <w:lang w:val="zh-CN"/>
              </w:rPr>
            </w:pPr>
            <w:r>
              <w:rPr>
                <w:rFonts w:hint="eastAsia" w:ascii="楷体_GB2312" w:hAnsi="宋体" w:eastAsia="楷体_GB2312"/>
                <w:szCs w:val="21"/>
                <w:lang w:val="zh-CN"/>
              </w:rPr>
              <w:t>4</w:t>
            </w:r>
          </w:p>
        </w:tc>
        <w:tc>
          <w:tcPr>
            <w:tcW w:w="4500" w:type="dxa"/>
            <w:vAlign w:val="center"/>
          </w:tcPr>
          <w:p>
            <w:pPr>
              <w:autoSpaceDE w:val="0"/>
              <w:autoSpaceDN w:val="0"/>
              <w:adjustRightInd w:val="0"/>
              <w:rPr>
                <w:rFonts w:ascii="楷体_GB2312" w:hAnsi="宋体" w:eastAsia="楷体_GB2312"/>
                <w:szCs w:val="21"/>
                <w:lang w:val="zh-CN"/>
              </w:rPr>
            </w:pPr>
            <w:r>
              <w:rPr>
                <w:rFonts w:hint="eastAsia" w:ascii="楷体_GB2312" w:hAnsi="宋体" w:eastAsia="楷体_GB2312"/>
                <w:szCs w:val="21"/>
              </w:rPr>
              <w:t>有依法缴纳税收和社会保障资金的良好记录；</w:t>
            </w:r>
          </w:p>
        </w:tc>
        <w:tc>
          <w:tcPr>
            <w:tcW w:w="2976" w:type="dxa"/>
            <w:vAlign w:val="center"/>
          </w:tcPr>
          <w:p>
            <w:pPr>
              <w:autoSpaceDE w:val="0"/>
              <w:autoSpaceDN w:val="0"/>
              <w:adjustRightInd w:val="0"/>
              <w:jc w:val="center"/>
              <w:rPr>
                <w:rFonts w:ascii="楷体_GB2312" w:hAnsi="宋体" w:eastAsia="楷体_GB2312"/>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828" w:type="dxa"/>
            <w:vAlign w:val="center"/>
          </w:tcPr>
          <w:p>
            <w:pPr>
              <w:autoSpaceDE w:val="0"/>
              <w:autoSpaceDN w:val="0"/>
              <w:adjustRightInd w:val="0"/>
              <w:jc w:val="center"/>
              <w:rPr>
                <w:rFonts w:ascii="楷体_GB2312" w:hAnsi="宋体" w:eastAsia="楷体_GB2312"/>
                <w:szCs w:val="21"/>
                <w:lang w:val="zh-CN"/>
              </w:rPr>
            </w:pPr>
            <w:r>
              <w:rPr>
                <w:rFonts w:hint="eastAsia" w:ascii="楷体_GB2312" w:hAnsi="宋体" w:eastAsia="楷体_GB2312"/>
                <w:szCs w:val="21"/>
                <w:lang w:val="zh-CN"/>
              </w:rPr>
              <w:t>5</w:t>
            </w:r>
          </w:p>
        </w:tc>
        <w:tc>
          <w:tcPr>
            <w:tcW w:w="4500" w:type="dxa"/>
            <w:vAlign w:val="center"/>
          </w:tcPr>
          <w:p>
            <w:pPr>
              <w:autoSpaceDE w:val="0"/>
              <w:autoSpaceDN w:val="0"/>
              <w:adjustRightInd w:val="0"/>
              <w:rPr>
                <w:rFonts w:ascii="楷体_GB2312" w:hAnsi="宋体" w:eastAsia="楷体_GB2312"/>
                <w:szCs w:val="21"/>
                <w:lang w:val="zh-CN"/>
              </w:rPr>
            </w:pPr>
            <w:r>
              <w:rPr>
                <w:rFonts w:hint="eastAsia" w:ascii="楷体_GB2312" w:hAnsi="宋体" w:eastAsia="楷体_GB2312"/>
                <w:szCs w:val="21"/>
              </w:rPr>
              <w:t>参加政府采购活动前三年内，在经营活动中没有重大违法记录。</w:t>
            </w:r>
          </w:p>
        </w:tc>
        <w:tc>
          <w:tcPr>
            <w:tcW w:w="2976" w:type="dxa"/>
            <w:vAlign w:val="center"/>
          </w:tcPr>
          <w:p>
            <w:pPr>
              <w:autoSpaceDE w:val="0"/>
              <w:autoSpaceDN w:val="0"/>
              <w:adjustRightInd w:val="0"/>
              <w:jc w:val="center"/>
              <w:rPr>
                <w:rFonts w:ascii="楷体_GB2312" w:hAnsi="宋体" w:eastAsia="楷体_GB2312"/>
                <w:szCs w:val="21"/>
                <w:lang w:val="zh-CN"/>
              </w:rPr>
            </w:pPr>
          </w:p>
        </w:tc>
      </w:tr>
    </w:tbl>
    <w:p>
      <w:pPr>
        <w:autoSpaceDE w:val="0"/>
        <w:autoSpaceDN w:val="0"/>
        <w:adjustRightInd w:val="0"/>
        <w:spacing w:line="360" w:lineRule="auto"/>
        <w:rPr>
          <w:rFonts w:ascii="楷体_GB2312" w:hAnsi="宋体" w:eastAsia="楷体_GB2312"/>
          <w:b/>
          <w:bCs/>
          <w:szCs w:val="21"/>
          <w:lang w:val="zh-CN"/>
        </w:rPr>
      </w:pPr>
    </w:p>
    <w:p>
      <w:pPr>
        <w:autoSpaceDE w:val="0"/>
        <w:autoSpaceDN w:val="0"/>
        <w:adjustRightInd w:val="0"/>
        <w:spacing w:line="360" w:lineRule="auto"/>
        <w:rPr>
          <w:rFonts w:ascii="楷体_GB2312" w:hAnsi="宋体" w:eastAsia="楷体_GB2312"/>
          <w:szCs w:val="21"/>
          <w:lang w:val="zh-CN"/>
        </w:rPr>
      </w:pPr>
    </w:p>
    <w:p>
      <w:pPr>
        <w:autoSpaceDE w:val="0"/>
        <w:autoSpaceDN w:val="0"/>
        <w:adjustRightInd w:val="0"/>
        <w:spacing w:line="480" w:lineRule="auto"/>
        <w:rPr>
          <w:rFonts w:ascii="楷体_GB2312" w:hAnsi="宋体" w:eastAsia="楷体_GB2312"/>
          <w:szCs w:val="21"/>
        </w:rPr>
      </w:pPr>
      <w:r>
        <w:rPr>
          <w:rFonts w:hint="eastAsia" w:ascii="楷体_GB2312" w:hAnsi="宋体" w:eastAsia="楷体_GB2312"/>
          <w:szCs w:val="21"/>
          <w:lang w:val="zh-CN"/>
        </w:rPr>
        <w:t>报价单位（公章）：</w:t>
      </w:r>
    </w:p>
    <w:p>
      <w:pPr>
        <w:autoSpaceDE w:val="0"/>
        <w:autoSpaceDN w:val="0"/>
        <w:adjustRightInd w:val="0"/>
        <w:spacing w:line="480" w:lineRule="auto"/>
        <w:jc w:val="left"/>
        <w:rPr>
          <w:rFonts w:ascii="楷体_GB2312" w:hAnsi="宋体" w:eastAsia="楷体_GB2312"/>
          <w:szCs w:val="21"/>
        </w:rPr>
      </w:pPr>
      <w:r>
        <w:rPr>
          <w:rFonts w:hint="eastAsia" w:ascii="楷体_GB2312" w:hAnsi="宋体" w:eastAsia="楷体_GB2312"/>
          <w:szCs w:val="21"/>
        </w:rPr>
        <w:t>法定代表人或被授权人（签名或签章）</w:t>
      </w:r>
      <w:r>
        <w:rPr>
          <w:rFonts w:hint="eastAsia" w:ascii="楷体_GB2312" w:hAnsi="宋体" w:eastAsia="楷体_GB2312"/>
          <w:szCs w:val="21"/>
          <w:lang w:val="zh-CN"/>
        </w:rPr>
        <w:t>：</w:t>
      </w:r>
    </w:p>
    <w:p>
      <w:pPr>
        <w:autoSpaceDE w:val="0"/>
        <w:autoSpaceDN w:val="0"/>
        <w:adjustRightInd w:val="0"/>
        <w:spacing w:line="480" w:lineRule="auto"/>
        <w:rPr>
          <w:rFonts w:ascii="楷体_GB2312" w:hAnsi="宋体" w:eastAsia="楷体_GB2312"/>
          <w:szCs w:val="21"/>
          <w:lang w:val="zh-CN"/>
        </w:rPr>
      </w:pPr>
      <w:r>
        <w:rPr>
          <w:rFonts w:hint="eastAsia" w:ascii="楷体_GB2312" w:hAnsi="宋体" w:eastAsia="楷体_GB2312"/>
          <w:szCs w:val="21"/>
          <w:lang w:val="zh-CN"/>
        </w:rPr>
        <w:t>日期：         年     月     日</w:t>
      </w:r>
    </w:p>
    <w:p>
      <w:pPr>
        <w:spacing w:line="360" w:lineRule="auto"/>
        <w:rPr>
          <w:rFonts w:ascii="楷体_GB2312" w:hAnsi="宋体" w:eastAsia="楷体_GB2312"/>
          <w:b/>
          <w:bCs/>
          <w:szCs w:val="21"/>
          <w:lang w:val="zh-CN"/>
        </w:rPr>
      </w:pPr>
    </w:p>
    <w:p>
      <w:pPr>
        <w:spacing w:line="400" w:lineRule="exact"/>
        <w:jc w:val="center"/>
        <w:rPr>
          <w:rFonts w:ascii="楷体_GB2312" w:hAnsi="宋体" w:eastAsia="楷体_GB2312"/>
          <w:b/>
          <w:sz w:val="18"/>
          <w:szCs w:val="18"/>
        </w:rPr>
      </w:pPr>
      <w:bookmarkStart w:id="8" w:name="_Toc3469"/>
      <w:bookmarkStart w:id="9" w:name="_Toc26101"/>
      <w:bookmarkStart w:id="10" w:name="_Toc23588"/>
      <w:r>
        <w:rPr>
          <w:rFonts w:hint="eastAsia" w:ascii="楷体_GB2312" w:hAnsi="宋体" w:eastAsia="楷体_GB2312"/>
          <w:sz w:val="24"/>
          <w:szCs w:val="20"/>
        </w:rPr>
        <w:br w:type="page"/>
      </w:r>
      <w:bookmarkEnd w:id="8"/>
      <w:bookmarkEnd w:id="9"/>
      <w:bookmarkEnd w:id="10"/>
      <w:r>
        <w:rPr>
          <w:rFonts w:hint="eastAsia" w:ascii="楷体_GB2312" w:hAnsi="宋体" w:eastAsia="楷体_GB2312"/>
          <w:b/>
          <w:sz w:val="32"/>
          <w:szCs w:val="32"/>
          <w:lang w:val="zh-CN"/>
        </w:rPr>
        <w:t>七、符合政府采购供应商资格书面声明函</w:t>
      </w:r>
    </w:p>
    <w:p>
      <w:pPr>
        <w:spacing w:line="400" w:lineRule="exact"/>
        <w:rPr>
          <w:rFonts w:ascii="楷体_GB2312" w:hAnsi="宋体" w:eastAsia="楷体_GB2312"/>
          <w:b/>
          <w:sz w:val="18"/>
          <w:szCs w:val="18"/>
          <w:lang w:val="zh-CN"/>
        </w:rPr>
      </w:pPr>
    </w:p>
    <w:p>
      <w:pPr>
        <w:spacing w:line="480" w:lineRule="auto"/>
        <w:rPr>
          <w:rFonts w:ascii="楷体_GB2312" w:hAnsi="宋体" w:eastAsia="楷体_GB2312"/>
          <w:sz w:val="24"/>
        </w:rPr>
      </w:pPr>
      <w:r>
        <w:rPr>
          <w:rFonts w:hint="eastAsia" w:ascii="楷体_GB2312" w:hAnsi="宋体" w:eastAsia="楷体_GB2312"/>
          <w:sz w:val="24"/>
        </w:rPr>
        <w:t>致：江苏昊丰润全建设项目管理有限公司</w:t>
      </w:r>
    </w:p>
    <w:p>
      <w:pPr>
        <w:spacing w:line="480" w:lineRule="auto"/>
        <w:ind w:firstLine="480" w:firstLineChars="200"/>
        <w:rPr>
          <w:rFonts w:ascii="楷体_GB2312" w:hAnsi="宋体" w:eastAsia="楷体_GB2312"/>
          <w:bCs/>
          <w:sz w:val="24"/>
        </w:rPr>
      </w:pPr>
      <w:r>
        <w:rPr>
          <w:rFonts w:hint="eastAsia" w:ascii="楷体_GB2312" w:hAnsi="宋体" w:eastAsia="楷体_GB2312"/>
          <w:bCs/>
          <w:sz w:val="24"/>
        </w:rPr>
        <w:t>我单位参与本项目报价，郑重声明：我单位未被列入失信被执行人、重大税收违法案件当事人、政府采购严重违法失信行记录名单及存在其他不符合《中华人民共和国政府采购法》第二十二条规定条件。</w:t>
      </w:r>
    </w:p>
    <w:p>
      <w:pPr>
        <w:spacing w:line="480" w:lineRule="auto"/>
        <w:ind w:firstLine="480" w:firstLineChars="200"/>
        <w:rPr>
          <w:rFonts w:ascii="楷体_GB2312" w:hAnsi="宋体" w:eastAsia="楷体_GB2312"/>
          <w:bCs/>
          <w:sz w:val="24"/>
        </w:rPr>
      </w:pPr>
      <w:r>
        <w:rPr>
          <w:rFonts w:hint="eastAsia" w:ascii="楷体_GB2312" w:hAnsi="宋体" w:eastAsia="楷体_GB2312"/>
          <w:bCs/>
          <w:sz w:val="24"/>
        </w:rPr>
        <w:t>我方参加本次采购活动前3年内，在经营活动中无重大违法活动记录，没有因违法经营受到刑事处罚或者责令停产停业、吊销许可证或者执照、较大数额罚款等行政处罚。</w:t>
      </w:r>
    </w:p>
    <w:p>
      <w:pPr>
        <w:spacing w:line="480" w:lineRule="auto"/>
        <w:ind w:firstLine="480" w:firstLineChars="200"/>
        <w:rPr>
          <w:rFonts w:ascii="楷体_GB2312" w:hAnsi="宋体" w:eastAsia="楷体_GB2312"/>
          <w:bCs/>
          <w:sz w:val="24"/>
        </w:rPr>
      </w:pPr>
      <w:r>
        <w:rPr>
          <w:rFonts w:hint="eastAsia" w:ascii="楷体_GB2312" w:hAnsi="宋体" w:eastAsia="楷体_GB2312"/>
          <w:bCs/>
          <w:sz w:val="24"/>
        </w:rPr>
        <w:t xml:space="preserve">我单位对上述声明的真实性负责。如有虚假，将依法承担相应责任。 </w:t>
      </w:r>
    </w:p>
    <w:p>
      <w:pPr>
        <w:spacing w:line="480" w:lineRule="auto"/>
        <w:ind w:firstLine="480" w:firstLineChars="200"/>
        <w:rPr>
          <w:rFonts w:ascii="楷体_GB2312" w:hAnsi="宋体" w:eastAsia="楷体_GB2312"/>
          <w:bCs/>
          <w:sz w:val="24"/>
        </w:rPr>
      </w:pPr>
      <w:r>
        <w:rPr>
          <w:rFonts w:hint="eastAsia" w:ascii="楷体_GB2312" w:hAnsi="宋体" w:eastAsia="楷体_GB2312"/>
          <w:bCs/>
          <w:sz w:val="24"/>
        </w:rPr>
        <w:t>特此声明。</w:t>
      </w:r>
    </w:p>
    <w:p>
      <w:pPr>
        <w:widowControl/>
        <w:jc w:val="left"/>
        <w:rPr>
          <w:rFonts w:ascii="楷体_GB2312" w:hAnsi="宋体" w:eastAsia="楷体_GB2312"/>
          <w:kern w:val="0"/>
          <w:sz w:val="22"/>
          <w:szCs w:val="22"/>
        </w:rPr>
      </w:pPr>
    </w:p>
    <w:p>
      <w:pPr>
        <w:widowControl/>
        <w:spacing w:line="480" w:lineRule="auto"/>
        <w:jc w:val="left"/>
        <w:rPr>
          <w:rFonts w:ascii="楷体_GB2312" w:hAnsi="宋体" w:eastAsia="楷体_GB2312"/>
          <w:kern w:val="0"/>
          <w:sz w:val="24"/>
        </w:rPr>
      </w:pPr>
      <w:r>
        <w:rPr>
          <w:rFonts w:hint="eastAsia" w:ascii="楷体_GB2312" w:hAnsi="宋体" w:eastAsia="楷体_GB2312"/>
          <w:kern w:val="0"/>
          <w:sz w:val="22"/>
          <w:szCs w:val="22"/>
        </w:rPr>
        <w:t xml:space="preserve">                                     报价单位（公章）</w:t>
      </w:r>
      <w:r>
        <w:rPr>
          <w:rFonts w:hint="eastAsia" w:ascii="楷体_GB2312" w:hAnsi="宋体" w:eastAsia="楷体_GB2312"/>
          <w:kern w:val="0"/>
          <w:sz w:val="24"/>
        </w:rPr>
        <w:t xml:space="preserve">：                                                         </w:t>
      </w:r>
    </w:p>
    <w:p>
      <w:pPr>
        <w:widowControl/>
        <w:spacing w:line="480" w:lineRule="auto"/>
        <w:jc w:val="left"/>
        <w:rPr>
          <w:rFonts w:ascii="楷体_GB2312" w:hAnsi="宋体" w:eastAsia="楷体_GB2312"/>
          <w:kern w:val="0"/>
          <w:sz w:val="24"/>
        </w:rPr>
      </w:pPr>
      <w:r>
        <w:rPr>
          <w:rFonts w:hint="eastAsia" w:ascii="楷体_GB2312" w:hAnsi="宋体" w:eastAsia="楷体_GB2312"/>
          <w:kern w:val="0"/>
          <w:sz w:val="24"/>
        </w:rPr>
        <w:t xml:space="preserve">                                             日期：         年     月     日                                                                                  </w:t>
      </w:r>
    </w:p>
    <w:p>
      <w:pPr>
        <w:widowControl/>
        <w:jc w:val="left"/>
        <w:rPr>
          <w:rFonts w:ascii="楷体_GB2312" w:hAnsi="宋体" w:eastAsia="楷体_GB2312"/>
          <w:kern w:val="0"/>
          <w:sz w:val="24"/>
        </w:rPr>
      </w:pPr>
    </w:p>
    <w:p>
      <w:pPr>
        <w:widowControl/>
        <w:jc w:val="left"/>
        <w:rPr>
          <w:rFonts w:ascii="楷体_GB2312" w:hAnsi="宋体" w:eastAsia="楷体_GB2312"/>
          <w:kern w:val="0"/>
          <w:sz w:val="24"/>
        </w:rPr>
      </w:pPr>
    </w:p>
    <w:p>
      <w:pPr>
        <w:pageBreakBefore/>
        <w:numPr>
          <w:ilvl w:val="0"/>
          <w:numId w:val="4"/>
        </w:numPr>
        <w:jc w:val="center"/>
        <w:rPr>
          <w:rFonts w:ascii="楷体_GB2312" w:hAnsi="宋体" w:eastAsia="楷体_GB2312"/>
          <w:b/>
          <w:bCs/>
          <w:sz w:val="32"/>
          <w:szCs w:val="32"/>
        </w:rPr>
      </w:pPr>
      <w:r>
        <w:rPr>
          <w:rFonts w:hint="eastAsia" w:ascii="楷体_GB2312" w:hAnsi="宋体" w:eastAsia="楷体_GB2312"/>
          <w:b/>
          <w:bCs/>
          <w:sz w:val="32"/>
          <w:szCs w:val="32"/>
        </w:rPr>
        <w:t>网上打印凭证</w:t>
      </w:r>
    </w:p>
    <w:p>
      <w:pPr>
        <w:rPr>
          <w:rFonts w:ascii="楷体_GB2312" w:hAnsi="宋体" w:eastAsia="楷体_GB2312"/>
          <w:b/>
          <w:bCs/>
          <w:i/>
          <w:iCs/>
          <w:sz w:val="32"/>
          <w:szCs w:val="32"/>
          <w:u w:val="single"/>
        </w:rPr>
      </w:pPr>
    </w:p>
    <w:p>
      <w:pPr>
        <w:ind w:firstLine="562" w:firstLineChars="200"/>
        <w:rPr>
          <w:rFonts w:ascii="楷体_GB2312" w:hAnsi="宋体" w:eastAsia="楷体_GB2312"/>
          <w:b/>
          <w:bCs/>
          <w:i/>
          <w:iCs/>
          <w:sz w:val="28"/>
          <w:szCs w:val="28"/>
          <w:u w:val="single"/>
        </w:rPr>
      </w:pPr>
      <w:r>
        <w:rPr>
          <w:rFonts w:hint="eastAsia" w:ascii="楷体_GB2312" w:hAnsi="宋体" w:eastAsia="楷体_GB2312"/>
          <w:b/>
          <w:bCs/>
          <w:i/>
          <w:iCs/>
          <w:sz w:val="28"/>
          <w:szCs w:val="28"/>
          <w:u w:val="single"/>
        </w:rPr>
        <w:t>未被列入信用记录失信被执行人、重大税收违法案件当事人名单、政府采购严重违法失信行为记录名单网上打印凭证加盖公章。【在“信用中国”网站(www.creditchina.gov.cn)查询未被列入信用记录失信被执行人、重大税收违法案件当事人名单、政府采购严重违法失信行为记录名单的网上打印凭证。（“信用中国”网站查询时间显示为本项目询价公告发布时间至询价截止前之间的任意时间）】</w:t>
      </w:r>
    </w:p>
    <w:p>
      <w:pPr>
        <w:ind w:firstLine="562" w:firstLineChars="200"/>
        <w:rPr>
          <w:rFonts w:ascii="楷体_GB2312" w:hAnsi="宋体" w:eastAsia="楷体_GB2312"/>
          <w:b/>
          <w:bCs/>
          <w:i/>
          <w:iCs/>
          <w:sz w:val="28"/>
          <w:szCs w:val="28"/>
          <w:u w:val="single"/>
        </w:rPr>
      </w:pPr>
    </w:p>
    <w:p>
      <w:pPr>
        <w:rPr>
          <w:rFonts w:ascii="楷体_GB2312" w:hAnsi="宋体" w:eastAsia="楷体_GB2312"/>
          <w:b/>
          <w:bCs/>
          <w:i/>
          <w:iCs/>
          <w:sz w:val="28"/>
          <w:szCs w:val="28"/>
          <w:u w:val="single"/>
        </w:rPr>
      </w:pPr>
      <w:r>
        <w:rPr>
          <w:rFonts w:ascii="楷体_GB2312" w:hAnsi="宋体" w:eastAsia="楷体_GB2312"/>
          <w:b/>
          <w:bCs/>
          <w:i/>
          <w:iCs/>
          <w:sz w:val="28"/>
          <w:szCs w:val="28"/>
          <w:u w:val="single"/>
        </w:rPr>
        <w:br w:type="page"/>
      </w:r>
    </w:p>
    <w:p>
      <w:pPr>
        <w:pageBreakBefore/>
        <w:numPr>
          <w:ilvl w:val="0"/>
          <w:numId w:val="4"/>
        </w:numPr>
        <w:jc w:val="center"/>
        <w:rPr>
          <w:rFonts w:ascii="楷体_GB2312" w:hAnsi="宋体" w:eastAsia="楷体_GB2312"/>
          <w:b/>
          <w:bCs/>
          <w:sz w:val="32"/>
          <w:szCs w:val="32"/>
        </w:rPr>
      </w:pPr>
      <w:r>
        <w:rPr>
          <w:rFonts w:hint="eastAsia" w:ascii="楷体_GB2312" w:hAnsi="宋体" w:eastAsia="楷体_GB2312"/>
          <w:b/>
          <w:bCs/>
          <w:sz w:val="32"/>
          <w:szCs w:val="32"/>
        </w:rPr>
        <w:t>政府采购供应商信用承诺书</w:t>
      </w:r>
    </w:p>
    <w:p>
      <w:pPr>
        <w:pStyle w:val="2"/>
        <w:ind w:firstLine="210"/>
      </w:pPr>
    </w:p>
    <w:p>
      <w:pPr>
        <w:spacing w:line="360" w:lineRule="auto"/>
        <w:ind w:firstLine="480" w:firstLineChars="200"/>
        <w:rPr>
          <w:rFonts w:ascii="黑体" w:hAnsi="黑体" w:eastAsia="黑体" w:cs="黑体"/>
          <w:snapToGrid w:val="0"/>
          <w:kern w:val="0"/>
          <w:sz w:val="24"/>
          <w:szCs w:val="20"/>
        </w:rPr>
      </w:pPr>
      <w:r>
        <w:rPr>
          <w:rFonts w:hint="eastAsia" w:ascii="黑体" w:hAnsi="黑体" w:eastAsia="黑体" w:cs="黑体"/>
          <w:snapToGrid w:val="0"/>
          <w:kern w:val="0"/>
          <w:sz w:val="24"/>
          <w:szCs w:val="20"/>
        </w:rPr>
        <w:t>为维护公开、公平、公正的政府采购市场秩序，树立诚实守信的供应商形象，本单位在参与政府采购活动中,自愿作出以下承诺：</w:t>
      </w:r>
    </w:p>
    <w:p>
      <w:pPr>
        <w:spacing w:line="360" w:lineRule="auto"/>
        <w:ind w:firstLine="480" w:firstLineChars="200"/>
        <w:rPr>
          <w:rFonts w:ascii="黑体" w:hAnsi="黑体" w:eastAsia="黑体" w:cs="黑体"/>
          <w:snapToGrid w:val="0"/>
          <w:kern w:val="0"/>
          <w:sz w:val="24"/>
          <w:szCs w:val="20"/>
        </w:rPr>
      </w:pPr>
      <w:r>
        <w:rPr>
          <w:rFonts w:hint="eastAsia" w:ascii="黑体" w:hAnsi="黑体" w:eastAsia="黑体" w:cs="黑体"/>
          <w:snapToGrid w:val="0"/>
          <w:kern w:val="0"/>
          <w:sz w:val="24"/>
          <w:szCs w:val="20"/>
        </w:rPr>
        <w:t>一、严格遵守国家法律、法规和规章，全面履行应尽的责任和义务，全面做到履约守信，具备《政府采购法》第二十二条第一款规定的条件。</w:t>
      </w:r>
    </w:p>
    <w:p>
      <w:pPr>
        <w:spacing w:line="360" w:lineRule="auto"/>
        <w:ind w:firstLine="480" w:firstLineChars="200"/>
        <w:rPr>
          <w:rFonts w:ascii="黑体" w:hAnsi="黑体" w:eastAsia="黑体" w:cs="黑体"/>
          <w:snapToGrid w:val="0"/>
          <w:kern w:val="0"/>
          <w:sz w:val="24"/>
          <w:szCs w:val="20"/>
        </w:rPr>
      </w:pPr>
      <w:r>
        <w:rPr>
          <w:rFonts w:hint="eastAsia" w:ascii="黑体" w:hAnsi="黑体" w:eastAsia="黑体" w:cs="黑体"/>
          <w:snapToGrid w:val="0"/>
          <w:kern w:val="0"/>
          <w:sz w:val="24"/>
          <w:szCs w:val="20"/>
        </w:rPr>
        <w:t>二、本单位已经阅读并充分理解《常州市政府采购供应商信用管理暂行办法》，自愿按照《常州市政府采购供应商信用管理暂行办法》规定，发生失信行为将记录并公开到“信用常州”、常州市政府采购网。</w:t>
      </w:r>
    </w:p>
    <w:p>
      <w:pPr>
        <w:spacing w:line="360" w:lineRule="auto"/>
        <w:ind w:firstLine="480" w:firstLineChars="200"/>
        <w:rPr>
          <w:rFonts w:ascii="黑体" w:hAnsi="黑体" w:eastAsia="黑体" w:cs="黑体"/>
          <w:snapToGrid w:val="0"/>
          <w:kern w:val="0"/>
          <w:sz w:val="24"/>
          <w:szCs w:val="20"/>
        </w:rPr>
      </w:pPr>
      <w:r>
        <w:rPr>
          <w:rFonts w:hint="eastAsia" w:ascii="黑体" w:hAnsi="黑体" w:eastAsia="黑体" w:cs="黑体"/>
          <w:snapToGrid w:val="0"/>
          <w:kern w:val="0"/>
          <w:sz w:val="24"/>
          <w:szCs w:val="20"/>
        </w:rPr>
        <w:t>三、本单位提供给注册登记部门、行业管理部门、司法部门、行业组织以及在政府采购活动中提交的所有资料均合法、真实、有效，无任何伪造、修改、虚假成份，并对所提供资料的真实性负责。</w:t>
      </w:r>
    </w:p>
    <w:p>
      <w:pPr>
        <w:spacing w:line="360" w:lineRule="auto"/>
        <w:ind w:firstLine="480" w:firstLineChars="200"/>
        <w:rPr>
          <w:rFonts w:ascii="黑体" w:hAnsi="黑体" w:eastAsia="黑体" w:cs="黑体"/>
          <w:snapToGrid w:val="0"/>
          <w:kern w:val="0"/>
          <w:sz w:val="24"/>
          <w:szCs w:val="20"/>
        </w:rPr>
      </w:pPr>
      <w:r>
        <w:rPr>
          <w:rFonts w:hint="eastAsia" w:ascii="黑体" w:hAnsi="黑体" w:eastAsia="黑体" w:cs="黑体"/>
          <w:snapToGrid w:val="0"/>
          <w:kern w:val="0"/>
          <w:sz w:val="24"/>
          <w:szCs w:val="20"/>
        </w:rPr>
        <w:t>四、严格依法开展生产经营活动，主动接受行业监管，自愿接受依法开展的日常检查；违法失信经营后将自愿接受约束和惩戒，并依法承担相应责任。</w:t>
      </w:r>
    </w:p>
    <w:p>
      <w:pPr>
        <w:spacing w:line="360" w:lineRule="auto"/>
        <w:ind w:firstLine="480" w:firstLineChars="200"/>
        <w:rPr>
          <w:rFonts w:ascii="黑体" w:hAnsi="黑体" w:eastAsia="黑体" w:cs="黑体"/>
          <w:snapToGrid w:val="0"/>
          <w:kern w:val="0"/>
          <w:sz w:val="24"/>
          <w:szCs w:val="20"/>
        </w:rPr>
      </w:pPr>
      <w:r>
        <w:rPr>
          <w:rFonts w:hint="eastAsia" w:ascii="黑体" w:hAnsi="黑体" w:eastAsia="黑体" w:cs="黑体"/>
          <w:snapToGrid w:val="0"/>
          <w:kern w:val="0"/>
          <w:sz w:val="24"/>
          <w:szCs w:val="20"/>
        </w:rPr>
        <w:t xml:space="preserve">五、承诺本单位自觉接受行政管理部门、行业组织、社会公众、新闻舆论的监督。 </w:t>
      </w:r>
    </w:p>
    <w:p>
      <w:pPr>
        <w:spacing w:line="360" w:lineRule="auto"/>
        <w:ind w:firstLine="480" w:firstLineChars="200"/>
        <w:rPr>
          <w:rFonts w:ascii="黑体" w:hAnsi="黑体" w:eastAsia="黑体" w:cs="黑体"/>
          <w:snapToGrid w:val="0"/>
          <w:kern w:val="0"/>
          <w:sz w:val="24"/>
          <w:szCs w:val="20"/>
        </w:rPr>
      </w:pPr>
      <w:r>
        <w:rPr>
          <w:rFonts w:hint="eastAsia" w:ascii="黑体" w:hAnsi="黑体" w:eastAsia="黑体" w:cs="黑体"/>
          <w:snapToGrid w:val="0"/>
          <w:kern w:val="0"/>
          <w:sz w:val="24"/>
          <w:szCs w:val="20"/>
        </w:rPr>
        <w:t xml:space="preserve">六、承诺本单位自我约束、自我管理，重合同、守信用，不制假售假、商标侵权、虚假宣传、违约毁约、恶意逃债、偷税漏税、价格欺诈、垄断和不正当竞争，维护经营者、消费者的合法权益。 </w:t>
      </w:r>
    </w:p>
    <w:p>
      <w:pPr>
        <w:spacing w:line="360" w:lineRule="auto"/>
        <w:ind w:firstLine="480" w:firstLineChars="200"/>
        <w:rPr>
          <w:rFonts w:ascii="黑体" w:hAnsi="黑体" w:eastAsia="黑体" w:cs="黑体"/>
          <w:snapToGrid w:val="0"/>
          <w:kern w:val="0"/>
          <w:sz w:val="24"/>
          <w:szCs w:val="20"/>
        </w:rPr>
      </w:pPr>
      <w:r>
        <w:rPr>
          <w:rFonts w:hint="eastAsia" w:ascii="黑体" w:hAnsi="黑体" w:eastAsia="黑体" w:cs="黑体"/>
          <w:snapToGrid w:val="0"/>
          <w:kern w:val="0"/>
          <w:sz w:val="24"/>
          <w:szCs w:val="20"/>
        </w:rPr>
        <w:t xml:space="preserve">七、承诺本单位在信用中国（江苏）网站中无违法违规、较重或严重失信记录。 </w:t>
      </w:r>
    </w:p>
    <w:p>
      <w:pPr>
        <w:spacing w:line="360" w:lineRule="auto"/>
        <w:ind w:firstLine="480" w:firstLineChars="200"/>
        <w:rPr>
          <w:rFonts w:ascii="黑体" w:hAnsi="黑体" w:eastAsia="黑体" w:cs="黑体"/>
          <w:snapToGrid w:val="0"/>
          <w:kern w:val="0"/>
          <w:sz w:val="24"/>
          <w:szCs w:val="20"/>
        </w:rPr>
      </w:pPr>
      <w:r>
        <w:rPr>
          <w:rFonts w:hint="eastAsia" w:ascii="黑体" w:hAnsi="黑体" w:eastAsia="黑体" w:cs="黑体"/>
          <w:snapToGrid w:val="0"/>
          <w:kern w:val="0"/>
          <w:sz w:val="24"/>
          <w:szCs w:val="20"/>
        </w:rPr>
        <w:t>八、承诺本单位提出政府采购质疑和投诉坚持依法依规、诚实信用原则。</w:t>
      </w:r>
    </w:p>
    <w:p>
      <w:pPr>
        <w:spacing w:line="360" w:lineRule="auto"/>
        <w:ind w:firstLine="480" w:firstLineChars="200"/>
        <w:rPr>
          <w:rFonts w:ascii="黑体" w:hAnsi="黑体" w:eastAsia="黑体" w:cs="黑体"/>
          <w:snapToGrid w:val="0"/>
          <w:kern w:val="0"/>
          <w:sz w:val="24"/>
          <w:szCs w:val="20"/>
        </w:rPr>
      </w:pPr>
      <w:r>
        <w:rPr>
          <w:rFonts w:hint="eastAsia" w:ascii="黑体" w:hAnsi="黑体" w:eastAsia="黑体" w:cs="黑体"/>
          <w:snapToGrid w:val="0"/>
          <w:kern w:val="0"/>
          <w:sz w:val="24"/>
          <w:szCs w:val="20"/>
        </w:rPr>
        <w:t xml:space="preserve">九、根据政府采购相关法律法规的规定需要作出的其他承诺。 </w:t>
      </w:r>
    </w:p>
    <w:p>
      <w:pPr>
        <w:spacing w:line="360" w:lineRule="auto"/>
        <w:ind w:firstLine="480" w:firstLineChars="200"/>
        <w:rPr>
          <w:rFonts w:ascii="黑体" w:hAnsi="黑体" w:eastAsia="黑体" w:cs="黑体"/>
          <w:snapToGrid w:val="0"/>
          <w:kern w:val="0"/>
          <w:sz w:val="24"/>
          <w:szCs w:val="20"/>
        </w:rPr>
      </w:pPr>
      <w:r>
        <w:rPr>
          <w:rFonts w:hint="eastAsia" w:ascii="黑体" w:hAnsi="黑体" w:eastAsia="黑体" w:cs="黑体"/>
          <w:snapToGrid w:val="0"/>
          <w:kern w:val="0"/>
          <w:sz w:val="24"/>
          <w:szCs w:val="20"/>
        </w:rPr>
        <w:t>十、承诺本单位若违背承诺约定，经查实，愿意接受行业主管部门和信用管理部门相应的规定处罚，承担违约责任，并依法承担相应的法律责任。</w:t>
      </w:r>
    </w:p>
    <w:p>
      <w:pPr>
        <w:spacing w:line="360" w:lineRule="auto"/>
        <w:ind w:firstLine="480" w:firstLineChars="200"/>
        <w:rPr>
          <w:rFonts w:ascii="黑体" w:hAnsi="黑体" w:eastAsia="黑体" w:cs="黑体"/>
          <w:snapToGrid w:val="0"/>
          <w:kern w:val="0"/>
          <w:sz w:val="24"/>
          <w:szCs w:val="20"/>
        </w:rPr>
      </w:pPr>
      <w:r>
        <w:rPr>
          <w:rFonts w:hint="eastAsia" w:ascii="黑体" w:hAnsi="黑体" w:eastAsia="黑体" w:cs="黑体"/>
          <w:snapToGrid w:val="0"/>
          <w:kern w:val="0"/>
          <w:sz w:val="24"/>
          <w:szCs w:val="20"/>
        </w:rPr>
        <w:t>十一、承诺本单位同意将以上承诺事项上网公示，违背承诺约定行为将作为失信信息，记录到常州市公共信用信息系统，并予以公开。</w:t>
      </w:r>
    </w:p>
    <w:p>
      <w:pPr>
        <w:spacing w:line="570" w:lineRule="exact"/>
        <w:ind w:firstLine="560" w:firstLineChars="200"/>
        <w:rPr>
          <w:rFonts w:ascii="仿宋" w:hAnsi="仿宋" w:eastAsia="仿宋" w:cs="仿宋"/>
          <w:snapToGrid w:val="0"/>
          <w:kern w:val="0"/>
          <w:sz w:val="28"/>
          <w:szCs w:val="21"/>
        </w:rPr>
      </w:pPr>
    </w:p>
    <w:p>
      <w:pPr>
        <w:spacing w:line="570" w:lineRule="exact"/>
        <w:ind w:firstLine="480" w:firstLineChars="200"/>
        <w:jc w:val="right"/>
        <w:rPr>
          <w:rFonts w:ascii="黑体" w:hAnsi="黑体" w:eastAsia="黑体" w:cs="黑体"/>
          <w:snapToGrid w:val="0"/>
          <w:kern w:val="0"/>
          <w:sz w:val="24"/>
          <w:szCs w:val="20"/>
        </w:rPr>
      </w:pPr>
      <w:r>
        <w:rPr>
          <w:rFonts w:hint="eastAsia" w:ascii="黑体" w:hAnsi="黑体" w:eastAsia="黑体" w:cs="黑体"/>
          <w:snapToGrid w:val="0"/>
          <w:kern w:val="0"/>
          <w:sz w:val="24"/>
          <w:szCs w:val="20"/>
        </w:rPr>
        <w:t>承诺单位（盖章）：</w:t>
      </w:r>
    </w:p>
    <w:p>
      <w:pPr>
        <w:spacing w:line="570" w:lineRule="exact"/>
        <w:ind w:firstLine="480" w:firstLineChars="200"/>
        <w:jc w:val="right"/>
        <w:rPr>
          <w:rFonts w:ascii="黑体" w:hAnsi="黑体" w:eastAsia="黑体" w:cs="黑体"/>
          <w:snapToGrid w:val="0"/>
          <w:kern w:val="0"/>
          <w:sz w:val="24"/>
          <w:szCs w:val="20"/>
        </w:rPr>
      </w:pPr>
      <w:r>
        <w:rPr>
          <w:rFonts w:hint="eastAsia" w:ascii="黑体" w:hAnsi="黑体" w:eastAsia="黑体" w:cs="黑体"/>
          <w:snapToGrid w:val="0"/>
          <w:kern w:val="0"/>
          <w:sz w:val="24"/>
          <w:szCs w:val="20"/>
        </w:rPr>
        <w:t>法定代表人（负责人）：</w:t>
      </w:r>
    </w:p>
    <w:p>
      <w:pPr>
        <w:spacing w:line="570" w:lineRule="exact"/>
        <w:ind w:firstLine="480" w:firstLineChars="200"/>
        <w:jc w:val="right"/>
        <w:rPr>
          <w:rFonts w:ascii="黑体" w:hAnsi="黑体" w:eastAsia="黑体" w:cs="黑体"/>
          <w:snapToGrid w:val="0"/>
          <w:kern w:val="0"/>
          <w:sz w:val="24"/>
          <w:szCs w:val="20"/>
        </w:rPr>
      </w:pPr>
    </w:p>
    <w:p>
      <w:pPr>
        <w:spacing w:line="570" w:lineRule="exact"/>
        <w:ind w:firstLine="480" w:firstLineChars="200"/>
        <w:jc w:val="right"/>
        <w:rPr>
          <w:rFonts w:ascii="黑体" w:hAnsi="黑体" w:eastAsia="黑体" w:cs="黑体"/>
          <w:snapToGrid w:val="0"/>
          <w:kern w:val="0"/>
          <w:sz w:val="24"/>
          <w:szCs w:val="20"/>
        </w:rPr>
      </w:pPr>
      <w:r>
        <w:rPr>
          <w:rFonts w:hint="eastAsia" w:ascii="黑体" w:hAnsi="黑体" w:eastAsia="黑体" w:cs="黑体"/>
          <w:snapToGrid w:val="0"/>
          <w:kern w:val="0"/>
          <w:sz w:val="24"/>
          <w:szCs w:val="20"/>
        </w:rPr>
        <w:t>年   月   日</w:t>
      </w:r>
    </w:p>
    <w:p>
      <w:pPr>
        <w:pageBreakBefore/>
        <w:jc w:val="center"/>
        <w:rPr>
          <w:rFonts w:ascii="楷体_GB2312" w:hAnsi="宋体" w:eastAsia="楷体_GB2312"/>
          <w:b/>
          <w:bCs/>
          <w:sz w:val="32"/>
          <w:szCs w:val="32"/>
        </w:rPr>
      </w:pPr>
      <w:r>
        <w:rPr>
          <w:rFonts w:hint="eastAsia" w:ascii="楷体_GB2312" w:hAnsi="宋体" w:eastAsia="楷体_GB2312"/>
          <w:b/>
          <w:bCs/>
          <w:sz w:val="32"/>
          <w:szCs w:val="32"/>
        </w:rPr>
        <w:t>十、质量保证</w:t>
      </w:r>
    </w:p>
    <w:p>
      <w:pPr>
        <w:ind w:firstLine="562" w:firstLineChars="200"/>
        <w:jc w:val="center"/>
        <w:rPr>
          <w:rFonts w:ascii="楷体_GB2312" w:hAnsi="宋体" w:eastAsia="楷体_GB2312"/>
          <w:b/>
          <w:bCs/>
          <w:sz w:val="28"/>
          <w:szCs w:val="28"/>
        </w:rPr>
      </w:pPr>
    </w:p>
    <w:p>
      <w:pPr>
        <w:ind w:firstLine="562" w:firstLineChars="200"/>
        <w:jc w:val="center"/>
        <w:rPr>
          <w:rFonts w:ascii="楷体_GB2312" w:hAnsi="宋体" w:eastAsia="楷体_GB2312"/>
          <w:b/>
          <w:bCs/>
          <w:sz w:val="28"/>
          <w:szCs w:val="28"/>
        </w:rPr>
      </w:pPr>
    </w:p>
    <w:p>
      <w:pPr>
        <w:ind w:firstLine="560" w:firstLineChars="200"/>
        <w:rPr>
          <w:rFonts w:ascii="楷体_GB2312" w:hAnsi="宋体" w:eastAsia="楷体_GB2312"/>
          <w:sz w:val="28"/>
          <w:szCs w:val="28"/>
        </w:rPr>
      </w:pPr>
      <w:r>
        <w:rPr>
          <w:rFonts w:hint="eastAsia" w:ascii="楷体_GB2312" w:hAnsi="宋体" w:eastAsia="楷体_GB2312"/>
          <w:sz w:val="28"/>
          <w:szCs w:val="28"/>
        </w:rPr>
        <w:t>我单位就“      号”质量保证如下：</w:t>
      </w:r>
    </w:p>
    <w:p>
      <w:pPr>
        <w:ind w:firstLine="562" w:firstLineChars="200"/>
        <w:rPr>
          <w:rFonts w:ascii="楷体_GB2312" w:hAnsi="宋体" w:eastAsia="楷体_GB2312"/>
          <w:b/>
          <w:bCs/>
          <w:sz w:val="28"/>
          <w:szCs w:val="28"/>
        </w:rPr>
      </w:pPr>
    </w:p>
    <w:p>
      <w:pPr>
        <w:ind w:firstLine="562" w:firstLineChars="200"/>
        <w:rPr>
          <w:rFonts w:ascii="楷体_GB2312" w:hAnsi="宋体" w:eastAsia="楷体_GB2312"/>
          <w:b/>
          <w:bCs/>
          <w:sz w:val="28"/>
          <w:szCs w:val="28"/>
        </w:rPr>
      </w:pPr>
    </w:p>
    <w:p>
      <w:pPr>
        <w:ind w:firstLine="562" w:firstLineChars="200"/>
        <w:rPr>
          <w:rFonts w:ascii="楷体_GB2312" w:hAnsi="宋体" w:eastAsia="楷体_GB2312"/>
          <w:b/>
          <w:bCs/>
          <w:sz w:val="28"/>
          <w:szCs w:val="28"/>
        </w:rPr>
      </w:pPr>
      <w:r>
        <w:rPr>
          <w:rFonts w:hint="eastAsia" w:ascii="楷体_GB2312" w:hAnsi="宋体" w:eastAsia="楷体_GB2312"/>
          <w:b/>
          <w:bCs/>
          <w:sz w:val="28"/>
          <w:szCs w:val="28"/>
        </w:rPr>
        <w:t>（详见采购内容及要求）</w:t>
      </w:r>
    </w:p>
    <w:p>
      <w:pPr>
        <w:ind w:firstLine="562" w:firstLineChars="200"/>
        <w:rPr>
          <w:rFonts w:ascii="楷体_GB2312" w:hAnsi="宋体" w:eastAsia="楷体_GB2312"/>
          <w:b/>
          <w:bCs/>
          <w:sz w:val="28"/>
          <w:szCs w:val="28"/>
        </w:rPr>
      </w:pPr>
    </w:p>
    <w:p>
      <w:pPr>
        <w:ind w:firstLine="562" w:firstLineChars="200"/>
        <w:rPr>
          <w:rFonts w:ascii="楷体_GB2312" w:hAnsi="宋体" w:eastAsia="楷体_GB2312"/>
          <w:b/>
          <w:bCs/>
          <w:sz w:val="28"/>
          <w:szCs w:val="28"/>
        </w:rPr>
      </w:pPr>
    </w:p>
    <w:p>
      <w:pPr>
        <w:ind w:firstLine="562" w:firstLineChars="200"/>
        <w:jc w:val="center"/>
        <w:rPr>
          <w:rFonts w:ascii="楷体_GB2312" w:hAnsi="宋体" w:eastAsia="楷体_GB2312"/>
          <w:b/>
          <w:bCs/>
          <w:sz w:val="28"/>
          <w:szCs w:val="28"/>
        </w:rPr>
      </w:pPr>
    </w:p>
    <w:p>
      <w:pPr>
        <w:spacing w:line="480" w:lineRule="auto"/>
        <w:ind w:firstLine="560" w:firstLineChars="200"/>
        <w:jc w:val="center"/>
        <w:rPr>
          <w:rFonts w:ascii="楷体_GB2312" w:hAnsi="宋体" w:eastAsia="楷体_GB2312"/>
          <w:sz w:val="28"/>
          <w:szCs w:val="28"/>
        </w:rPr>
      </w:pPr>
    </w:p>
    <w:p>
      <w:pPr>
        <w:spacing w:line="480" w:lineRule="auto"/>
        <w:ind w:firstLine="560" w:firstLineChars="200"/>
        <w:jc w:val="center"/>
        <w:rPr>
          <w:rFonts w:ascii="楷体_GB2312" w:hAnsi="宋体" w:eastAsia="楷体_GB2312"/>
          <w:sz w:val="28"/>
          <w:szCs w:val="28"/>
        </w:rPr>
      </w:pPr>
    </w:p>
    <w:p>
      <w:pPr>
        <w:spacing w:line="480" w:lineRule="auto"/>
        <w:ind w:firstLine="560" w:firstLineChars="200"/>
        <w:jc w:val="center"/>
        <w:rPr>
          <w:rFonts w:ascii="楷体_GB2312" w:hAnsi="宋体" w:eastAsia="楷体_GB2312"/>
          <w:sz w:val="28"/>
          <w:szCs w:val="28"/>
        </w:rPr>
      </w:pPr>
    </w:p>
    <w:p>
      <w:pPr>
        <w:spacing w:line="480" w:lineRule="auto"/>
        <w:ind w:firstLine="560" w:firstLineChars="200"/>
        <w:jc w:val="center"/>
        <w:rPr>
          <w:rFonts w:ascii="楷体_GB2312" w:hAnsi="宋体" w:eastAsia="楷体_GB2312"/>
          <w:sz w:val="28"/>
          <w:szCs w:val="28"/>
        </w:rPr>
      </w:pPr>
    </w:p>
    <w:p>
      <w:pPr>
        <w:spacing w:line="480" w:lineRule="auto"/>
        <w:jc w:val="right"/>
        <w:rPr>
          <w:rFonts w:ascii="楷体_GB2312" w:hAnsi="宋体" w:eastAsia="楷体_GB2312"/>
          <w:sz w:val="28"/>
          <w:szCs w:val="28"/>
        </w:rPr>
      </w:pPr>
      <w:r>
        <w:rPr>
          <w:rFonts w:hint="eastAsia" w:ascii="楷体_GB2312" w:hAnsi="宋体" w:eastAsia="楷体_GB2312"/>
          <w:sz w:val="28"/>
          <w:szCs w:val="28"/>
        </w:rPr>
        <w:t>报价单位（公章）：</w:t>
      </w:r>
    </w:p>
    <w:p>
      <w:pPr>
        <w:spacing w:line="480" w:lineRule="auto"/>
        <w:jc w:val="right"/>
        <w:rPr>
          <w:rFonts w:ascii="楷体_GB2312" w:hAnsi="宋体" w:eastAsia="楷体_GB2312"/>
          <w:sz w:val="28"/>
          <w:szCs w:val="28"/>
        </w:rPr>
      </w:pPr>
      <w:r>
        <w:rPr>
          <w:rFonts w:hint="eastAsia" w:ascii="楷体_GB2312" w:hAnsi="宋体" w:eastAsia="楷体_GB2312"/>
          <w:sz w:val="28"/>
          <w:szCs w:val="28"/>
        </w:rPr>
        <w:t>法定代表人或被授权人（签字或盖章）：</w:t>
      </w:r>
    </w:p>
    <w:p>
      <w:pPr>
        <w:spacing w:line="480" w:lineRule="auto"/>
        <w:jc w:val="right"/>
        <w:rPr>
          <w:rFonts w:ascii="楷体_GB2312" w:hAnsi="宋体" w:eastAsia="楷体_GB2312"/>
          <w:sz w:val="28"/>
          <w:szCs w:val="28"/>
        </w:rPr>
      </w:pPr>
      <w:r>
        <w:rPr>
          <w:rFonts w:hint="eastAsia" w:ascii="楷体_GB2312" w:hAnsi="宋体" w:eastAsia="楷体_GB2312"/>
          <w:sz w:val="28"/>
          <w:szCs w:val="28"/>
        </w:rPr>
        <w:t xml:space="preserve">日期：         年     月     日  </w:t>
      </w:r>
    </w:p>
    <w:p>
      <w:pPr>
        <w:ind w:firstLine="562" w:firstLineChars="200"/>
        <w:rPr>
          <w:rFonts w:ascii="楷体_GB2312" w:hAnsi="宋体" w:eastAsia="楷体_GB2312"/>
          <w:b/>
          <w:bCs/>
          <w:i/>
          <w:iCs/>
          <w:sz w:val="28"/>
          <w:szCs w:val="28"/>
          <w:u w:val="single"/>
        </w:rPr>
      </w:pPr>
    </w:p>
    <w:p>
      <w:pPr>
        <w:pageBreakBefore/>
        <w:jc w:val="center"/>
        <w:rPr>
          <w:rFonts w:ascii="楷体_GB2312" w:hAnsi="宋体" w:eastAsia="楷体_GB2312"/>
          <w:b/>
          <w:bCs/>
          <w:sz w:val="32"/>
          <w:szCs w:val="32"/>
        </w:rPr>
      </w:pPr>
      <w:r>
        <w:rPr>
          <w:rFonts w:hint="eastAsia" w:ascii="楷体_GB2312" w:hAnsi="宋体" w:eastAsia="楷体_GB2312"/>
          <w:b/>
          <w:bCs/>
          <w:sz w:val="32"/>
          <w:szCs w:val="32"/>
        </w:rPr>
        <w:t>十一、合同格式</w:t>
      </w:r>
    </w:p>
    <w:p>
      <w:pPr>
        <w:autoSpaceDE w:val="0"/>
        <w:autoSpaceDN w:val="0"/>
        <w:adjustRightInd w:val="0"/>
        <w:spacing w:line="440" w:lineRule="exact"/>
        <w:ind w:firstLine="420"/>
        <w:jc w:val="left"/>
        <w:rPr>
          <w:rFonts w:ascii="楷体_GB2312" w:eastAsia="楷体_GB2312"/>
          <w:sz w:val="24"/>
        </w:rPr>
      </w:pPr>
      <w:r>
        <w:rPr>
          <w:rFonts w:ascii="楷体_GB2312" w:eastAsia="楷体_GB2312"/>
          <w:sz w:val="24"/>
          <w:lang w:val="zh-CN"/>
        </w:rPr>
        <w:t>根据《中华人民共和国政府采购法》、《中华人民共和国</w:t>
      </w:r>
      <w:r>
        <w:rPr>
          <w:rFonts w:hint="eastAsia" w:ascii="楷体_GB2312" w:eastAsia="楷体_GB2312"/>
          <w:sz w:val="24"/>
          <w:lang w:val="zh-CN"/>
        </w:rPr>
        <w:t>民法典</w:t>
      </w:r>
      <w:r>
        <w:rPr>
          <w:rFonts w:ascii="楷体_GB2312" w:eastAsia="楷体_GB2312"/>
          <w:sz w:val="24"/>
          <w:lang w:val="zh-CN"/>
        </w:rPr>
        <w:t>》等法律法规的规定，甲乙双方按照</w:t>
      </w:r>
      <w:r>
        <w:rPr>
          <w:rFonts w:hint="eastAsia" w:ascii="楷体_GB2312" w:eastAsia="楷体_GB2312"/>
          <w:sz w:val="24"/>
          <w:lang w:val="zh-CN"/>
        </w:rPr>
        <w:t>本项目的</w:t>
      </w:r>
      <w:r>
        <w:rPr>
          <w:rFonts w:ascii="楷体_GB2312" w:eastAsia="楷体_GB2312"/>
          <w:sz w:val="24"/>
          <w:lang w:val="zh-CN"/>
        </w:rPr>
        <w:t>采购结果签订本合同。</w:t>
      </w:r>
    </w:p>
    <w:p>
      <w:pPr>
        <w:spacing w:line="440" w:lineRule="exact"/>
        <w:rPr>
          <w:rFonts w:ascii="黑体" w:hAnsi="宋体" w:eastAsia="黑体" w:cs="黑体"/>
          <w:sz w:val="24"/>
        </w:rPr>
      </w:pPr>
      <w:r>
        <w:rPr>
          <w:rFonts w:hint="eastAsia" w:ascii="黑体" w:hAnsi="宋体" w:eastAsia="黑体" w:cs="黑体"/>
          <w:sz w:val="24"/>
        </w:rPr>
        <w:t>第一条　采购内容</w:t>
      </w:r>
    </w:p>
    <w:p>
      <w:pPr>
        <w:spacing w:line="440" w:lineRule="exact"/>
        <w:ind w:firstLine="480" w:firstLineChars="200"/>
        <w:rPr>
          <w:rFonts w:ascii="楷体_GB2312" w:hAnsi="宋体" w:eastAsia="楷体_GB2312"/>
          <w:sz w:val="24"/>
          <w:u w:val="single"/>
        </w:rPr>
      </w:pPr>
      <w:r>
        <w:rPr>
          <w:rFonts w:ascii="楷体_GB2312" w:hAnsi="宋体" w:eastAsia="楷体_GB2312"/>
          <w:sz w:val="24"/>
        </w:rPr>
        <w:t>1、项目名称（项目编号）：</w:t>
      </w:r>
      <w:r>
        <w:rPr>
          <w:rFonts w:ascii="楷体_GB2312" w:hAnsi="宋体" w:eastAsia="楷体_GB2312"/>
          <w:sz w:val="24"/>
          <w:u w:val="single"/>
        </w:rPr>
        <w:t xml:space="preserve">　　　　　　　　　　　　　　　　　　　　 </w:t>
      </w:r>
    </w:p>
    <w:p>
      <w:pPr>
        <w:spacing w:line="440" w:lineRule="exact"/>
        <w:ind w:firstLine="480" w:firstLineChars="200"/>
        <w:rPr>
          <w:rFonts w:ascii="楷体_GB2312" w:hAnsi="宋体" w:eastAsia="楷体_GB2312"/>
          <w:sz w:val="24"/>
        </w:rPr>
      </w:pPr>
      <w:r>
        <w:rPr>
          <w:rFonts w:ascii="楷体_GB2312" w:hAnsi="宋体" w:eastAsia="楷体_GB2312"/>
          <w:sz w:val="24"/>
        </w:rPr>
        <w:t>2、采购内容：货物或服务名称、规格、型号、数量、价格</w:t>
      </w:r>
    </w:p>
    <w:p>
      <w:pPr>
        <w:spacing w:line="440" w:lineRule="exact"/>
        <w:ind w:firstLine="480" w:firstLineChars="200"/>
        <w:rPr>
          <w:rFonts w:ascii="楷体_GB2312" w:hAnsi="宋体" w:eastAsia="楷体_GB2312"/>
          <w:sz w:val="24"/>
        </w:rPr>
      </w:pPr>
      <w:r>
        <w:rPr>
          <w:rFonts w:ascii="楷体_GB2312" w:hAnsi="宋体" w:eastAsia="楷体_GB2312"/>
          <w:sz w:val="24"/>
        </w:rPr>
        <w:t>3、服务范围：</w:t>
      </w:r>
      <w:r>
        <w:rPr>
          <w:rFonts w:ascii="楷体_GB2312" w:hAnsi="宋体" w:eastAsia="楷体_GB2312"/>
          <w:sz w:val="24"/>
          <w:u w:val="single"/>
        </w:rPr>
        <w:t>　　　　　　　　　　　　　　　　　　　　　　　　　　</w:t>
      </w:r>
    </w:p>
    <w:p>
      <w:pPr>
        <w:spacing w:line="440" w:lineRule="exact"/>
        <w:ind w:firstLine="480" w:firstLineChars="200"/>
        <w:rPr>
          <w:rFonts w:ascii="楷体_GB2312" w:hAnsi="宋体" w:eastAsia="楷体_GB2312"/>
          <w:sz w:val="24"/>
        </w:rPr>
      </w:pPr>
      <w:r>
        <w:rPr>
          <w:rFonts w:ascii="楷体_GB2312" w:hAnsi="宋体" w:eastAsia="楷体_GB2312"/>
          <w:sz w:val="24"/>
        </w:rPr>
        <w:t>4、服务期限：</w:t>
      </w:r>
      <w:r>
        <w:rPr>
          <w:rFonts w:ascii="楷体_GB2312" w:hAnsi="宋体" w:eastAsia="楷体_GB2312"/>
          <w:sz w:val="24"/>
          <w:u w:val="single"/>
        </w:rPr>
        <w:t>　　　　　　　　　　　　　　　　　　　　　　　　　　</w:t>
      </w:r>
    </w:p>
    <w:p>
      <w:pPr>
        <w:spacing w:line="440" w:lineRule="exact"/>
        <w:ind w:firstLine="480" w:firstLineChars="200"/>
        <w:rPr>
          <w:rFonts w:ascii="楷体_GB2312" w:hAnsi="宋体" w:eastAsia="楷体_GB2312"/>
          <w:sz w:val="24"/>
          <w:u w:val="single"/>
        </w:rPr>
      </w:pPr>
      <w:r>
        <w:rPr>
          <w:rFonts w:ascii="楷体_GB2312" w:hAnsi="宋体" w:eastAsia="楷体_GB2312"/>
          <w:sz w:val="24"/>
        </w:rPr>
        <w:t>5、其他：</w:t>
      </w:r>
      <w:r>
        <w:rPr>
          <w:rFonts w:ascii="楷体_GB2312" w:hAnsi="宋体" w:eastAsia="楷体_GB2312"/>
          <w:sz w:val="24"/>
          <w:u w:val="single"/>
        </w:rPr>
        <w:t>　　　　　　　　　　　　　　　　　　　　　　　　　　　　</w:t>
      </w:r>
    </w:p>
    <w:p>
      <w:pPr>
        <w:autoSpaceDE w:val="0"/>
        <w:autoSpaceDN w:val="0"/>
        <w:adjustRightInd w:val="0"/>
        <w:spacing w:line="440" w:lineRule="exact"/>
        <w:jc w:val="left"/>
        <w:rPr>
          <w:rFonts w:ascii="黑体" w:hAnsi="宋体" w:eastAsia="黑体" w:cs="黑体"/>
          <w:sz w:val="24"/>
          <w:lang w:val="zh-CN"/>
        </w:rPr>
      </w:pPr>
      <w:r>
        <w:rPr>
          <w:rFonts w:hint="eastAsia" w:ascii="黑体" w:hAnsi="宋体" w:eastAsia="黑体" w:cs="黑体"/>
          <w:bCs/>
          <w:sz w:val="24"/>
          <w:lang w:val="zh-CN"/>
        </w:rPr>
        <w:t>第二条　合同总价款</w:t>
      </w:r>
    </w:p>
    <w:p>
      <w:pPr>
        <w:autoSpaceDE w:val="0"/>
        <w:autoSpaceDN w:val="0"/>
        <w:adjustRightInd w:val="0"/>
        <w:spacing w:line="440" w:lineRule="exact"/>
        <w:ind w:firstLine="480" w:firstLineChars="200"/>
        <w:jc w:val="left"/>
        <w:rPr>
          <w:rFonts w:ascii="楷体_GB2312" w:hAnsi="宋体" w:eastAsia="楷体_GB2312"/>
          <w:sz w:val="24"/>
          <w:lang w:val="zh-CN"/>
        </w:rPr>
      </w:pPr>
      <w:r>
        <w:rPr>
          <w:rFonts w:ascii="楷体_GB2312" w:hAnsi="宋体" w:eastAsia="楷体_GB2312"/>
          <w:sz w:val="24"/>
          <w:lang w:val="zh-CN"/>
        </w:rPr>
        <w:t>本合同人民币总价款为</w:t>
      </w:r>
      <w:r>
        <w:rPr>
          <w:rFonts w:ascii="楷体_GB2312" w:hAnsi="宋体" w:eastAsia="楷体_GB2312"/>
          <w:sz w:val="24"/>
          <w:u w:val="single"/>
          <w:lang w:val="zh-CN"/>
        </w:rPr>
        <w:t>　　　　　　　</w:t>
      </w:r>
      <w:r>
        <w:rPr>
          <w:rFonts w:ascii="楷体_GB2312" w:hAnsi="宋体" w:eastAsia="楷体_GB2312"/>
          <w:sz w:val="24"/>
          <w:lang w:val="zh-CN"/>
        </w:rPr>
        <w:t>（小写），</w:t>
      </w:r>
      <w:r>
        <w:rPr>
          <w:rFonts w:ascii="楷体_GB2312" w:hAnsi="宋体" w:eastAsia="楷体_GB2312"/>
          <w:sz w:val="24"/>
          <w:u w:val="single"/>
          <w:lang w:val="zh-CN"/>
        </w:rPr>
        <w:t>　　　　　　　　</w:t>
      </w:r>
      <w:r>
        <w:rPr>
          <w:rFonts w:ascii="楷体_GB2312" w:hAnsi="宋体" w:eastAsia="楷体_GB2312"/>
          <w:sz w:val="24"/>
          <w:lang w:val="zh-CN"/>
        </w:rPr>
        <w:t>（大写）。</w:t>
      </w:r>
    </w:p>
    <w:p>
      <w:pPr>
        <w:widowControl/>
        <w:autoSpaceDE w:val="0"/>
        <w:autoSpaceDN w:val="0"/>
        <w:spacing w:line="440" w:lineRule="exact"/>
        <w:ind w:firstLine="480"/>
        <w:jc w:val="left"/>
        <w:rPr>
          <w:rFonts w:ascii="楷体" w:hAnsi="楷体" w:eastAsia="楷体" w:cs="楷体"/>
          <w:sz w:val="24"/>
        </w:rPr>
      </w:pPr>
      <w:r>
        <w:rPr>
          <w:rFonts w:ascii="楷体_GB2312" w:hAnsi="宋体" w:eastAsia="楷体_GB2312"/>
          <w:sz w:val="24"/>
          <w:lang w:val="zh-CN"/>
        </w:rPr>
        <w:t>本合同服务期限内合同总价款不变。（有另行规定的除外。）</w:t>
      </w:r>
      <w:r>
        <w:rPr>
          <w:rFonts w:hint="eastAsia" w:ascii="楷体" w:hAnsi="楷体" w:eastAsia="楷体" w:cs="楷体"/>
          <w:sz w:val="24"/>
        </w:rPr>
        <w:t>投标总价一次报定，总报价包括全部设备、辅助材料、安装、调试、人工、机械、运输、报关、仓储、保险、运费、各种税费、劳保、售后服务、专利技术及质保期间的一切费用。</w:t>
      </w:r>
    </w:p>
    <w:p>
      <w:pPr>
        <w:autoSpaceDE w:val="0"/>
        <w:autoSpaceDN w:val="0"/>
        <w:adjustRightInd w:val="0"/>
        <w:spacing w:line="440" w:lineRule="exact"/>
        <w:rPr>
          <w:rFonts w:ascii="楷体_GB2312" w:eastAsia="楷体_GB2312" w:cs="宋体"/>
          <w:bCs/>
          <w:sz w:val="24"/>
          <w:lang w:val="zh-CN"/>
        </w:rPr>
      </w:pPr>
      <w:r>
        <w:rPr>
          <w:rFonts w:ascii="楷体_GB2312" w:hAnsi="宋体" w:eastAsia="楷体_GB2312"/>
          <w:bCs/>
          <w:sz w:val="24"/>
        </w:rPr>
        <w:t>（</w:t>
      </w:r>
      <w:r>
        <w:rPr>
          <w:rFonts w:ascii="楷体_GB2312" w:eastAsia="楷体_GB2312" w:cs="宋体"/>
          <w:bCs/>
          <w:sz w:val="24"/>
          <w:lang w:val="zh-CN"/>
        </w:rPr>
        <w:t>按实结算项目的结算金额以项目完成后审计部门的审计结果作为结算依据。）</w:t>
      </w:r>
    </w:p>
    <w:p>
      <w:pPr>
        <w:autoSpaceDE w:val="0"/>
        <w:autoSpaceDN w:val="0"/>
        <w:adjustRightInd w:val="0"/>
        <w:spacing w:line="440" w:lineRule="exact"/>
        <w:rPr>
          <w:rFonts w:ascii="黑体" w:hAnsi="宋体" w:eastAsia="黑体" w:cs="黑体"/>
          <w:sz w:val="24"/>
          <w:lang w:val="zh-CN"/>
        </w:rPr>
      </w:pPr>
      <w:r>
        <w:rPr>
          <w:rFonts w:hint="eastAsia" w:ascii="黑体" w:hAnsi="宋体" w:eastAsia="黑体" w:cs="黑体"/>
          <w:bCs/>
          <w:sz w:val="24"/>
          <w:lang w:val="zh-CN"/>
        </w:rPr>
        <w:t>第三条　组成本合同的有关文件</w:t>
      </w:r>
    </w:p>
    <w:p>
      <w:pPr>
        <w:autoSpaceDE w:val="0"/>
        <w:autoSpaceDN w:val="0"/>
        <w:adjustRightInd w:val="0"/>
        <w:spacing w:line="440" w:lineRule="exact"/>
        <w:ind w:firstLine="480" w:firstLineChars="200"/>
        <w:rPr>
          <w:rFonts w:ascii="楷体_GB2312" w:hAnsi="宋体" w:eastAsia="楷体_GB2312"/>
          <w:sz w:val="24"/>
          <w:lang w:val="zh-CN"/>
        </w:rPr>
      </w:pPr>
      <w:r>
        <w:rPr>
          <w:rFonts w:ascii="楷体_GB2312" w:hAnsi="宋体" w:eastAsia="楷体_GB2312"/>
          <w:sz w:val="24"/>
          <w:lang w:val="zh-CN"/>
        </w:rPr>
        <w:t>下列关于本次采购活动方式相适应的文件及有关附件是本合同不可分割的组成部分，与本合同具有同等法律效力，这些文件包括但不限于：</w:t>
      </w:r>
    </w:p>
    <w:p>
      <w:pPr>
        <w:autoSpaceDE w:val="0"/>
        <w:autoSpaceDN w:val="0"/>
        <w:adjustRightInd w:val="0"/>
        <w:spacing w:line="440" w:lineRule="exact"/>
        <w:ind w:firstLine="480" w:firstLineChars="200"/>
        <w:jc w:val="left"/>
        <w:rPr>
          <w:rFonts w:ascii="楷体_GB2312" w:hAnsi="宋体" w:eastAsia="楷体_GB2312"/>
          <w:sz w:val="24"/>
          <w:lang w:val="zh-CN"/>
        </w:rPr>
      </w:pPr>
      <w:r>
        <w:rPr>
          <w:rFonts w:ascii="楷体_GB2312" w:hAnsi="宋体" w:eastAsia="楷体_GB2312"/>
          <w:sz w:val="24"/>
          <w:lang w:val="zh-CN"/>
        </w:rPr>
        <w:t>（1）招标文件；</w:t>
      </w:r>
    </w:p>
    <w:p>
      <w:pPr>
        <w:autoSpaceDE w:val="0"/>
        <w:autoSpaceDN w:val="0"/>
        <w:adjustRightInd w:val="0"/>
        <w:spacing w:line="440" w:lineRule="exact"/>
        <w:ind w:firstLine="480" w:firstLineChars="200"/>
        <w:jc w:val="left"/>
        <w:rPr>
          <w:rFonts w:ascii="楷体_GB2312" w:hAnsi="宋体" w:eastAsia="楷体_GB2312"/>
          <w:sz w:val="24"/>
          <w:lang w:val="zh-CN"/>
        </w:rPr>
      </w:pPr>
      <w:r>
        <w:rPr>
          <w:rFonts w:ascii="楷体_GB2312" w:hAnsi="宋体" w:eastAsia="楷体_GB2312"/>
          <w:sz w:val="24"/>
          <w:lang w:val="zh-CN"/>
        </w:rPr>
        <w:t>（2）投标文件；</w:t>
      </w:r>
    </w:p>
    <w:p>
      <w:pPr>
        <w:autoSpaceDE w:val="0"/>
        <w:autoSpaceDN w:val="0"/>
        <w:adjustRightInd w:val="0"/>
        <w:spacing w:line="440" w:lineRule="exact"/>
        <w:ind w:firstLine="480" w:firstLineChars="200"/>
        <w:jc w:val="left"/>
        <w:rPr>
          <w:rFonts w:ascii="楷体_GB2312" w:hAnsi="宋体" w:eastAsia="楷体_GB2312"/>
          <w:sz w:val="24"/>
          <w:lang w:val="zh-CN"/>
        </w:rPr>
      </w:pPr>
      <w:r>
        <w:rPr>
          <w:rFonts w:ascii="楷体_GB2312" w:hAnsi="宋体" w:eastAsia="楷体_GB2312"/>
          <w:sz w:val="24"/>
          <w:lang w:val="zh-CN"/>
        </w:rPr>
        <w:t>（3）中标通知书；</w:t>
      </w:r>
    </w:p>
    <w:p>
      <w:pPr>
        <w:autoSpaceDE w:val="0"/>
        <w:autoSpaceDN w:val="0"/>
        <w:adjustRightInd w:val="0"/>
        <w:spacing w:line="440" w:lineRule="exact"/>
        <w:ind w:firstLine="480" w:firstLineChars="200"/>
        <w:jc w:val="left"/>
        <w:rPr>
          <w:rFonts w:ascii="楷体_GB2312" w:hAnsi="宋体" w:eastAsia="楷体_GB2312"/>
          <w:sz w:val="24"/>
          <w:lang w:val="zh-CN"/>
        </w:rPr>
      </w:pPr>
      <w:r>
        <w:rPr>
          <w:rFonts w:ascii="楷体_GB2312" w:hAnsi="宋体" w:eastAsia="楷体_GB2312"/>
          <w:sz w:val="24"/>
          <w:lang w:val="zh-CN"/>
        </w:rPr>
        <w:t>（4）中标人在投标、评标过程中所作其它有关承诺、声明、书面澄清；</w:t>
      </w:r>
    </w:p>
    <w:p>
      <w:pPr>
        <w:autoSpaceDE w:val="0"/>
        <w:autoSpaceDN w:val="0"/>
        <w:adjustRightInd w:val="0"/>
        <w:spacing w:line="440" w:lineRule="exact"/>
        <w:ind w:firstLine="480" w:firstLineChars="200"/>
        <w:jc w:val="left"/>
        <w:rPr>
          <w:rFonts w:ascii="楷体_GB2312" w:hAnsi="宋体" w:eastAsia="楷体_GB2312"/>
          <w:sz w:val="24"/>
          <w:lang w:val="zh-CN"/>
        </w:rPr>
      </w:pPr>
      <w:r>
        <w:rPr>
          <w:rFonts w:ascii="楷体_GB2312" w:hAnsi="宋体" w:eastAsia="楷体_GB2312"/>
          <w:sz w:val="24"/>
          <w:lang w:val="zh-CN"/>
        </w:rPr>
        <w:t>（5）甲乙双方商定的其他文件等。</w:t>
      </w:r>
    </w:p>
    <w:p>
      <w:pPr>
        <w:autoSpaceDE w:val="0"/>
        <w:autoSpaceDN w:val="0"/>
        <w:adjustRightInd w:val="0"/>
        <w:spacing w:line="440" w:lineRule="exact"/>
        <w:jc w:val="left"/>
        <w:rPr>
          <w:rFonts w:ascii="黑体" w:hAnsi="宋体" w:eastAsia="黑体" w:cs="黑体"/>
          <w:bCs/>
          <w:sz w:val="24"/>
          <w:lang w:val="zh-CN"/>
        </w:rPr>
      </w:pPr>
      <w:r>
        <w:rPr>
          <w:rFonts w:hint="eastAsia" w:ascii="黑体" w:hAnsi="宋体" w:eastAsia="黑体" w:cs="黑体"/>
          <w:bCs/>
          <w:sz w:val="24"/>
          <w:lang w:val="zh-CN"/>
        </w:rPr>
        <w:t>第四条　权利保证</w:t>
      </w:r>
    </w:p>
    <w:p>
      <w:pPr>
        <w:autoSpaceDE w:val="0"/>
        <w:autoSpaceDN w:val="0"/>
        <w:adjustRightInd w:val="0"/>
        <w:spacing w:line="440" w:lineRule="exact"/>
        <w:ind w:firstLine="480" w:firstLineChars="200"/>
        <w:jc w:val="left"/>
        <w:rPr>
          <w:rFonts w:ascii="楷体_GB2312" w:hAnsi="宋体" w:eastAsia="楷体_GB2312"/>
          <w:sz w:val="24"/>
          <w:lang w:val="zh-CN"/>
        </w:rPr>
      </w:pPr>
      <w:r>
        <w:rPr>
          <w:rFonts w:ascii="楷体_GB2312" w:hAnsi="宋体" w:eastAsia="楷体_GB2312"/>
          <w:sz w:val="24"/>
          <w:lang w:val="zh-CN"/>
        </w:rPr>
        <w:t>乙方应保证采购人在合同履行期限内不受第三方提出侵犯其专利权、版权、商标权或其他权利的起诉。一旦出现侵权，乙方应承担全部责任。</w:t>
      </w:r>
    </w:p>
    <w:p>
      <w:pPr>
        <w:autoSpaceDE w:val="0"/>
        <w:autoSpaceDN w:val="0"/>
        <w:adjustRightInd w:val="0"/>
        <w:spacing w:line="440" w:lineRule="exact"/>
        <w:jc w:val="left"/>
        <w:rPr>
          <w:rFonts w:ascii="黑体" w:hAnsi="宋体" w:eastAsia="黑体" w:cs="黑体"/>
          <w:bCs/>
          <w:sz w:val="24"/>
          <w:lang w:val="zh-CN"/>
        </w:rPr>
      </w:pPr>
      <w:r>
        <w:rPr>
          <w:rFonts w:hint="eastAsia" w:ascii="黑体" w:hAnsi="宋体" w:eastAsia="黑体" w:cs="黑体"/>
          <w:bCs/>
          <w:sz w:val="24"/>
          <w:lang w:val="zh-CN"/>
        </w:rPr>
        <w:t>第五条　质量保证和售后服务</w:t>
      </w:r>
    </w:p>
    <w:p>
      <w:pPr>
        <w:autoSpaceDE w:val="0"/>
        <w:autoSpaceDN w:val="0"/>
        <w:adjustRightInd w:val="0"/>
        <w:spacing w:line="440" w:lineRule="exact"/>
        <w:ind w:firstLine="480" w:firstLineChars="200"/>
        <w:jc w:val="left"/>
        <w:rPr>
          <w:rFonts w:ascii="楷体_GB2312" w:hAnsi="宋体" w:eastAsia="楷体_GB2312"/>
          <w:bCs/>
          <w:sz w:val="24"/>
        </w:rPr>
      </w:pPr>
      <w:r>
        <w:rPr>
          <w:rFonts w:ascii="楷体_GB2312" w:hAnsi="宋体" w:eastAsia="楷体_GB2312"/>
          <w:bCs/>
          <w:sz w:val="24"/>
        </w:rPr>
        <w:t>1、乙方应按招标文件规定的服务要求、技术要求、质量标准向采购人提供服务。</w:t>
      </w:r>
    </w:p>
    <w:p>
      <w:pPr>
        <w:autoSpaceDE w:val="0"/>
        <w:autoSpaceDN w:val="0"/>
        <w:adjustRightInd w:val="0"/>
        <w:spacing w:line="440" w:lineRule="exact"/>
        <w:ind w:firstLine="480" w:firstLineChars="200"/>
        <w:jc w:val="left"/>
        <w:rPr>
          <w:rFonts w:ascii="楷体_GB2312" w:hAnsi="宋体" w:eastAsia="楷体_GB2312"/>
          <w:bCs/>
          <w:sz w:val="24"/>
          <w:szCs w:val="22"/>
        </w:rPr>
      </w:pPr>
      <w:r>
        <w:rPr>
          <w:rFonts w:ascii="楷体_GB2312" w:hAnsi="宋体" w:eastAsia="楷体_GB2312"/>
          <w:bCs/>
          <w:sz w:val="24"/>
          <w:lang w:val="zh-CN"/>
        </w:rPr>
        <w:t>2、质量保证：</w:t>
      </w:r>
      <w:r>
        <w:rPr>
          <w:rFonts w:ascii="楷体_GB2312" w:hAnsi="宋体" w:eastAsia="楷体_GB2312"/>
          <w:bCs/>
          <w:sz w:val="24"/>
          <w:szCs w:val="22"/>
          <w:lang w:val="zh-CN"/>
        </w:rPr>
        <w:t>质保期</w:t>
      </w:r>
      <w:r>
        <w:rPr>
          <w:rFonts w:hint="eastAsia" w:ascii="楷体_GB2312" w:hAnsi="宋体" w:eastAsia="楷体_GB2312"/>
          <w:bCs/>
          <w:sz w:val="24"/>
          <w:szCs w:val="22"/>
        </w:rPr>
        <w:t>（</w:t>
      </w:r>
      <w:r>
        <w:rPr>
          <w:rFonts w:ascii="楷体_GB2312" w:hAnsi="宋体" w:eastAsia="楷体_GB2312"/>
          <w:bCs/>
          <w:sz w:val="24"/>
          <w:szCs w:val="22"/>
        </w:rPr>
        <w:t>包括外购品</w:t>
      </w:r>
      <w:r>
        <w:rPr>
          <w:rFonts w:hint="eastAsia" w:ascii="楷体_GB2312" w:hAnsi="宋体" w:eastAsia="楷体_GB2312"/>
          <w:bCs/>
          <w:sz w:val="24"/>
          <w:szCs w:val="22"/>
        </w:rPr>
        <w:t>）</w:t>
      </w:r>
      <w:r>
        <w:rPr>
          <w:rFonts w:ascii="楷体_GB2312" w:hAnsi="宋体" w:eastAsia="楷体_GB2312"/>
          <w:bCs/>
          <w:sz w:val="24"/>
          <w:szCs w:val="22"/>
        </w:rPr>
        <w:t>为年</w:t>
      </w:r>
      <w:r>
        <w:rPr>
          <w:rFonts w:hint="eastAsia" w:ascii="楷体_GB2312" w:hAnsi="宋体" w:eastAsia="楷体_GB2312"/>
          <w:bCs/>
          <w:sz w:val="24"/>
          <w:szCs w:val="22"/>
        </w:rPr>
        <w:t>，</w:t>
      </w:r>
      <w:r>
        <w:rPr>
          <w:rFonts w:ascii="楷体_GB2312" w:hAnsi="宋体" w:eastAsia="楷体_GB2312"/>
          <w:bCs/>
          <w:sz w:val="24"/>
          <w:szCs w:val="22"/>
        </w:rPr>
        <w:t>厂制品</w:t>
      </w:r>
      <w:r>
        <w:rPr>
          <w:rFonts w:hint="eastAsia" w:ascii="楷体_GB2312" w:hAnsi="宋体" w:eastAsia="楷体_GB2312"/>
          <w:bCs/>
          <w:sz w:val="24"/>
          <w:szCs w:val="22"/>
        </w:rPr>
        <w:t>年。</w:t>
      </w:r>
      <w:r>
        <w:rPr>
          <w:rFonts w:ascii="楷体_GB2312" w:hAnsi="宋体" w:eastAsia="楷体_GB2312"/>
          <w:bCs/>
          <w:sz w:val="24"/>
          <w:szCs w:val="22"/>
        </w:rPr>
        <w:t xml:space="preserve">    　　</w:t>
      </w:r>
    </w:p>
    <w:p>
      <w:pPr>
        <w:autoSpaceDE w:val="0"/>
        <w:autoSpaceDN w:val="0"/>
        <w:adjustRightInd w:val="0"/>
        <w:spacing w:line="440" w:lineRule="exact"/>
        <w:ind w:firstLine="480" w:firstLineChars="200"/>
        <w:jc w:val="left"/>
        <w:rPr>
          <w:rFonts w:ascii="楷体_GB2312" w:hAnsi="宋体" w:eastAsia="楷体_GB2312"/>
          <w:bCs/>
          <w:sz w:val="24"/>
        </w:rPr>
      </w:pPr>
      <w:r>
        <w:rPr>
          <w:rFonts w:ascii="楷体_GB2312" w:hAnsi="宋体" w:eastAsia="楷体_GB2312"/>
          <w:bCs/>
          <w:sz w:val="24"/>
          <w:szCs w:val="22"/>
          <w:lang w:val="zh-CN"/>
        </w:rPr>
        <w:t>3、</w:t>
      </w:r>
      <w:r>
        <w:rPr>
          <w:rFonts w:ascii="楷体_GB2312" w:hAnsi="宋体" w:eastAsia="楷体_GB2312"/>
          <w:bCs/>
          <w:sz w:val="24"/>
          <w:lang w:val="zh-CN"/>
        </w:rPr>
        <w:t>售后服务：</w:t>
      </w:r>
      <w:r>
        <w:rPr>
          <w:rFonts w:ascii="楷体_GB2312" w:hAnsi="宋体" w:eastAsia="楷体_GB2312"/>
          <w:bCs/>
          <w:sz w:val="24"/>
          <w:u w:val="single"/>
          <w:lang w:val="zh-CN"/>
        </w:rPr>
        <w:t>　　　　　　　　　　　　　　　　　　　　　　　　　　</w:t>
      </w:r>
    </w:p>
    <w:p>
      <w:pPr>
        <w:tabs>
          <w:tab w:val="left" w:pos="210"/>
          <w:tab w:val="left" w:pos="420"/>
          <w:tab w:val="left" w:pos="1155"/>
        </w:tabs>
        <w:spacing w:line="440" w:lineRule="exact"/>
        <w:ind w:firstLine="480" w:firstLineChars="200"/>
        <w:rPr>
          <w:rFonts w:ascii="楷体_GB2312" w:hAnsi="宋体" w:eastAsia="楷体_GB2312"/>
          <w:bCs/>
          <w:sz w:val="24"/>
          <w:u w:val="single"/>
          <w:lang w:val="zh-CN"/>
        </w:rPr>
      </w:pPr>
      <w:r>
        <w:rPr>
          <w:rFonts w:ascii="楷体_GB2312" w:hAnsi="宋体" w:eastAsia="楷体_GB2312"/>
          <w:bCs/>
          <w:sz w:val="24"/>
        </w:rPr>
        <w:t>招标文件、投标文件、合同条款及中标通知书，中标人在投标、评标过程中所作其它有关承诺、声明、书面澄清等均为合同不可分割的部分，与主合同具有同等法律效力。</w:t>
      </w:r>
    </w:p>
    <w:p>
      <w:pPr>
        <w:autoSpaceDE w:val="0"/>
        <w:autoSpaceDN w:val="0"/>
        <w:adjustRightInd w:val="0"/>
        <w:spacing w:line="440" w:lineRule="exact"/>
        <w:jc w:val="left"/>
        <w:rPr>
          <w:rFonts w:ascii="黑体" w:hAnsi="宋体" w:eastAsia="黑体" w:cs="黑体"/>
          <w:bCs/>
          <w:sz w:val="24"/>
          <w:lang w:val="zh-CN"/>
        </w:rPr>
      </w:pPr>
      <w:r>
        <w:rPr>
          <w:rFonts w:hint="eastAsia" w:ascii="黑体" w:hAnsi="宋体" w:eastAsia="黑体" w:cs="黑体"/>
          <w:bCs/>
          <w:sz w:val="24"/>
          <w:lang w:val="zh-CN"/>
        </w:rPr>
        <w:t>第六条　验收</w:t>
      </w:r>
    </w:p>
    <w:p>
      <w:pPr>
        <w:autoSpaceDE w:val="0"/>
        <w:autoSpaceDN w:val="0"/>
        <w:adjustRightInd w:val="0"/>
        <w:spacing w:line="440" w:lineRule="exact"/>
        <w:ind w:firstLine="480" w:firstLineChars="200"/>
        <w:jc w:val="left"/>
        <w:rPr>
          <w:rFonts w:ascii="楷体_GB2312" w:hAnsi="宋体" w:eastAsia="楷体_GB2312"/>
          <w:sz w:val="24"/>
          <w:lang w:val="zh-CN"/>
        </w:rPr>
      </w:pPr>
      <w:r>
        <w:rPr>
          <w:rFonts w:ascii="楷体_GB2312" w:hAnsi="宋体" w:eastAsia="楷体_GB2312"/>
          <w:bCs/>
          <w:sz w:val="24"/>
          <w:lang w:val="zh-CN"/>
        </w:rPr>
        <w:t>验收标准：</w:t>
      </w:r>
      <w:r>
        <w:rPr>
          <w:rFonts w:ascii="楷体_GB2312" w:hAnsi="宋体" w:eastAsia="楷体_GB2312"/>
          <w:sz w:val="24"/>
          <w:lang w:val="zh-CN"/>
        </w:rPr>
        <w:t>按招标文件所规定的服务标准和乙方投标文件的承诺</w:t>
      </w:r>
      <w:r>
        <w:rPr>
          <w:rFonts w:ascii="楷体_GB2312" w:hAnsi="宋体" w:eastAsia="楷体_GB2312"/>
          <w:sz w:val="24"/>
        </w:rPr>
        <w:t>。</w:t>
      </w:r>
    </w:p>
    <w:p>
      <w:pPr>
        <w:autoSpaceDE w:val="0"/>
        <w:autoSpaceDN w:val="0"/>
        <w:adjustRightInd w:val="0"/>
        <w:spacing w:line="440" w:lineRule="exact"/>
        <w:jc w:val="left"/>
        <w:rPr>
          <w:rFonts w:ascii="黑体" w:hAnsi="宋体" w:eastAsia="黑体" w:cs="黑体"/>
          <w:bCs/>
          <w:i/>
          <w:sz w:val="24"/>
          <w:lang w:val="zh-CN"/>
        </w:rPr>
      </w:pPr>
      <w:r>
        <w:rPr>
          <w:rFonts w:hint="eastAsia" w:ascii="黑体" w:hAnsi="宋体" w:eastAsia="黑体" w:cs="黑体"/>
          <w:bCs/>
          <w:sz w:val="24"/>
          <w:lang w:val="zh-CN"/>
        </w:rPr>
        <w:t>第七条　付款</w:t>
      </w:r>
    </w:p>
    <w:p>
      <w:pPr>
        <w:autoSpaceDE w:val="0"/>
        <w:autoSpaceDN w:val="0"/>
        <w:adjustRightInd w:val="0"/>
        <w:spacing w:line="440" w:lineRule="exact"/>
        <w:ind w:firstLine="420"/>
        <w:jc w:val="left"/>
        <w:rPr>
          <w:rFonts w:ascii="楷体_GB2312" w:hAnsi="宋体" w:eastAsia="楷体_GB2312"/>
          <w:sz w:val="24"/>
          <w:lang w:val="zh-CN"/>
        </w:rPr>
      </w:pPr>
      <w:r>
        <w:rPr>
          <w:rFonts w:ascii="楷体_GB2312" w:hAnsi="宋体" w:eastAsia="楷体_GB2312"/>
          <w:sz w:val="24"/>
          <w:lang w:val="zh-CN"/>
        </w:rPr>
        <w:t>1、本合同项下所有款项均以人民币支付，乙方向采购人开具发票。</w:t>
      </w:r>
    </w:p>
    <w:p>
      <w:pPr>
        <w:autoSpaceDE w:val="0"/>
        <w:autoSpaceDN w:val="0"/>
        <w:adjustRightInd w:val="0"/>
        <w:spacing w:line="440" w:lineRule="exact"/>
        <w:ind w:firstLine="420"/>
        <w:jc w:val="left"/>
        <w:rPr>
          <w:rFonts w:ascii="楷体_GB2312" w:hAnsi="宋体" w:eastAsia="楷体_GB2312"/>
          <w:sz w:val="24"/>
          <w:u w:val="single"/>
        </w:rPr>
      </w:pPr>
      <w:r>
        <w:rPr>
          <w:rFonts w:ascii="楷体_GB2312" w:hAnsi="宋体" w:eastAsia="楷体_GB2312"/>
          <w:sz w:val="24"/>
          <w:lang w:val="zh-CN"/>
        </w:rPr>
        <w:t>2、付款方式：</w:t>
      </w:r>
      <w:r>
        <w:rPr>
          <w:rFonts w:ascii="楷体_GB2312" w:hAnsi="宋体" w:eastAsia="楷体_GB2312"/>
          <w:sz w:val="24"/>
          <w:u w:val="single"/>
          <w:lang w:val="zh-CN"/>
        </w:rPr>
        <w:t>　　　　　　　　　　　　　　　　　　　　　　　　　　</w:t>
      </w:r>
    </w:p>
    <w:p>
      <w:pPr>
        <w:autoSpaceDE w:val="0"/>
        <w:autoSpaceDN w:val="0"/>
        <w:adjustRightInd w:val="0"/>
        <w:spacing w:line="440" w:lineRule="exact"/>
        <w:jc w:val="left"/>
        <w:rPr>
          <w:rFonts w:ascii="黑体" w:hAnsi="宋体" w:eastAsia="黑体" w:cs="黑体"/>
          <w:b/>
          <w:sz w:val="24"/>
          <w:lang w:val="zh-CN"/>
        </w:rPr>
      </w:pPr>
      <w:r>
        <w:rPr>
          <w:rFonts w:hint="eastAsia" w:ascii="黑体" w:hAnsi="宋体" w:eastAsia="黑体" w:cs="黑体"/>
          <w:bCs/>
          <w:sz w:val="24"/>
          <w:lang w:val="zh-CN"/>
        </w:rPr>
        <w:t>第八条　违约责任</w:t>
      </w:r>
    </w:p>
    <w:p>
      <w:pPr>
        <w:widowControl/>
        <w:adjustRightInd w:val="0"/>
        <w:spacing w:line="440" w:lineRule="exact"/>
        <w:ind w:firstLine="480" w:firstLineChars="200"/>
        <w:jc w:val="left"/>
        <w:rPr>
          <w:rFonts w:ascii="楷体_GB2312" w:hAnsi="宋体" w:eastAsia="楷体_GB2312" w:cs="宋体"/>
          <w:sz w:val="24"/>
        </w:rPr>
      </w:pPr>
      <w:r>
        <w:rPr>
          <w:rFonts w:ascii="楷体_GB2312" w:hAnsi="宋体" w:eastAsia="楷体_GB2312" w:cs="宋体"/>
          <w:sz w:val="24"/>
        </w:rPr>
        <w:t>1、采购人无正当理由拒绝验收或拒付合同款项的，应向乙方偿付合同总价10％的违约金。</w:t>
      </w:r>
    </w:p>
    <w:p>
      <w:pPr>
        <w:widowControl/>
        <w:adjustRightInd w:val="0"/>
        <w:spacing w:line="440" w:lineRule="exact"/>
        <w:ind w:firstLine="480" w:firstLineChars="200"/>
        <w:jc w:val="left"/>
        <w:rPr>
          <w:rFonts w:ascii="楷体_GB2312" w:hAnsi="宋体" w:eastAsia="楷体_GB2312" w:cs="宋体"/>
          <w:sz w:val="24"/>
        </w:rPr>
      </w:pPr>
      <w:r>
        <w:rPr>
          <w:rFonts w:ascii="楷体_GB2312" w:hAnsi="宋体" w:eastAsia="楷体_GB2312" w:cs="宋体"/>
          <w:sz w:val="24"/>
        </w:rPr>
        <w:t>2、采购人逾期支付合同款项的，每逾期</w:t>
      </w:r>
      <w:r>
        <w:rPr>
          <w:rFonts w:hint="eastAsia" w:ascii="楷体_GB2312" w:hAnsi="宋体" w:eastAsia="楷体_GB2312" w:cs="宋体"/>
          <w:sz w:val="24"/>
          <w:u w:val="single"/>
        </w:rPr>
        <w:t>1</w:t>
      </w:r>
      <w:r>
        <w:rPr>
          <w:rFonts w:ascii="楷体_GB2312" w:hAnsi="宋体" w:eastAsia="楷体_GB2312" w:cs="宋体"/>
          <w:sz w:val="24"/>
        </w:rPr>
        <w:t>天应向乙方偿付</w:t>
      </w:r>
      <w:r>
        <w:rPr>
          <w:rFonts w:hint="eastAsia" w:ascii="楷体_GB2312" w:hAnsi="宋体" w:eastAsia="楷体_GB2312" w:cs="宋体"/>
          <w:sz w:val="24"/>
        </w:rPr>
        <w:t>货</w:t>
      </w:r>
      <w:r>
        <w:rPr>
          <w:rFonts w:ascii="楷体_GB2312" w:hAnsi="宋体" w:eastAsia="楷体_GB2312" w:cs="宋体"/>
          <w:sz w:val="24"/>
        </w:rPr>
        <w:t>款总额</w:t>
      </w:r>
      <w:r>
        <w:rPr>
          <w:rFonts w:ascii="楷体_GB2312" w:hAnsi="宋体" w:eastAsia="楷体_GB2312" w:cs="宋体"/>
          <w:sz w:val="24"/>
          <w:u w:val="single"/>
        </w:rPr>
        <w:t>0.5％</w:t>
      </w:r>
      <w:r>
        <w:rPr>
          <w:rFonts w:ascii="楷体_GB2312" w:hAnsi="宋体" w:eastAsia="楷体_GB2312" w:cs="宋体"/>
          <w:sz w:val="24"/>
        </w:rPr>
        <w:t>的滞纳金，但滞纳金总额累计不得超过</w:t>
      </w:r>
      <w:r>
        <w:rPr>
          <w:rFonts w:hint="eastAsia" w:ascii="楷体_GB2312" w:hAnsi="宋体" w:eastAsia="楷体_GB2312" w:cs="宋体"/>
          <w:sz w:val="24"/>
        </w:rPr>
        <w:t>货</w:t>
      </w:r>
      <w:r>
        <w:rPr>
          <w:rFonts w:ascii="楷体_GB2312" w:hAnsi="宋体" w:eastAsia="楷体_GB2312" w:cs="宋体"/>
          <w:sz w:val="24"/>
        </w:rPr>
        <w:t>款总额的</w:t>
      </w:r>
      <w:r>
        <w:rPr>
          <w:rFonts w:ascii="楷体_GB2312" w:hAnsi="宋体" w:eastAsia="楷体_GB2312" w:cs="宋体"/>
          <w:sz w:val="24"/>
          <w:u w:val="single"/>
        </w:rPr>
        <w:t>5％</w:t>
      </w:r>
      <w:r>
        <w:rPr>
          <w:rFonts w:ascii="楷体_GB2312" w:hAnsi="宋体" w:eastAsia="楷体_GB2312" w:cs="宋体"/>
          <w:sz w:val="24"/>
        </w:rPr>
        <w:t>；一旦滞纳金总额累计达到</w:t>
      </w:r>
      <w:r>
        <w:rPr>
          <w:rFonts w:hint="eastAsia" w:ascii="楷体_GB2312" w:hAnsi="宋体" w:eastAsia="楷体_GB2312" w:cs="宋体"/>
          <w:sz w:val="24"/>
        </w:rPr>
        <w:t>货</w:t>
      </w:r>
      <w:r>
        <w:rPr>
          <w:rFonts w:ascii="楷体_GB2312" w:hAnsi="宋体" w:eastAsia="楷体_GB2312" w:cs="宋体"/>
          <w:sz w:val="24"/>
        </w:rPr>
        <w:t>款总额的</w:t>
      </w:r>
      <w:r>
        <w:rPr>
          <w:rFonts w:ascii="楷体_GB2312" w:hAnsi="宋体" w:eastAsia="楷体_GB2312" w:cs="宋体"/>
          <w:sz w:val="24"/>
          <w:u w:val="single"/>
        </w:rPr>
        <w:t>5％</w:t>
      </w:r>
      <w:r>
        <w:rPr>
          <w:rFonts w:ascii="楷体_GB2312" w:hAnsi="宋体" w:eastAsia="楷体_GB2312" w:cs="宋体"/>
          <w:sz w:val="24"/>
        </w:rPr>
        <w:t>，乙方有权解除合同。区财政因素除外。</w:t>
      </w:r>
    </w:p>
    <w:p>
      <w:pPr>
        <w:widowControl/>
        <w:adjustRightInd w:val="0"/>
        <w:spacing w:line="440" w:lineRule="exact"/>
        <w:ind w:firstLine="480" w:firstLineChars="200"/>
        <w:jc w:val="left"/>
        <w:rPr>
          <w:rFonts w:ascii="楷体_GB2312" w:hAnsi="宋体" w:eastAsia="楷体_GB2312" w:cs="宋体"/>
          <w:sz w:val="24"/>
        </w:rPr>
      </w:pPr>
      <w:r>
        <w:rPr>
          <w:rFonts w:ascii="楷体_GB2312" w:hAnsi="宋体" w:eastAsia="楷体_GB2312" w:cs="宋体"/>
          <w:sz w:val="24"/>
        </w:rPr>
        <w:t>3、乙方无法完成项目的，应向采购人支付合同总价</w:t>
      </w:r>
      <w:r>
        <w:rPr>
          <w:rFonts w:ascii="楷体_GB2312" w:hAnsi="宋体" w:eastAsia="楷体_GB2312" w:cs="宋体"/>
          <w:sz w:val="24"/>
          <w:u w:val="single"/>
        </w:rPr>
        <w:t>10％</w:t>
      </w:r>
      <w:r>
        <w:rPr>
          <w:rFonts w:ascii="楷体_GB2312" w:hAnsi="宋体" w:eastAsia="楷体_GB2312" w:cs="宋体"/>
          <w:sz w:val="24"/>
        </w:rPr>
        <w:t>的违约金，同时采购人有权解除合同。</w:t>
      </w:r>
    </w:p>
    <w:p>
      <w:pPr>
        <w:widowControl/>
        <w:adjustRightInd w:val="0"/>
        <w:spacing w:line="440" w:lineRule="exact"/>
        <w:ind w:firstLine="480" w:firstLineChars="200"/>
        <w:jc w:val="left"/>
        <w:rPr>
          <w:rFonts w:ascii="楷体_GB2312" w:hAnsi="宋体" w:eastAsia="楷体_GB2312" w:cs="宋体"/>
          <w:sz w:val="24"/>
        </w:rPr>
      </w:pPr>
      <w:r>
        <w:rPr>
          <w:rFonts w:ascii="楷体_GB2312" w:hAnsi="宋体" w:eastAsia="楷体_GB2312" w:cs="宋体"/>
          <w:sz w:val="24"/>
        </w:rPr>
        <w:t>4、乙方逾期完成项目的，每逾期</w:t>
      </w:r>
      <w:r>
        <w:rPr>
          <w:rFonts w:ascii="楷体_GB2312" w:hAnsi="宋体" w:eastAsia="楷体_GB2312" w:cs="宋体"/>
          <w:sz w:val="24"/>
          <w:u w:val="single"/>
        </w:rPr>
        <w:t>1</w:t>
      </w:r>
      <w:r>
        <w:rPr>
          <w:rFonts w:ascii="楷体_GB2312" w:hAnsi="宋体" w:eastAsia="楷体_GB2312" w:cs="宋体"/>
          <w:sz w:val="24"/>
        </w:rPr>
        <w:t>天应向采购人偿付逾期交付合同总额</w:t>
      </w:r>
      <w:r>
        <w:rPr>
          <w:rFonts w:ascii="楷体_GB2312" w:hAnsi="宋体" w:eastAsia="楷体_GB2312" w:cs="宋体"/>
          <w:sz w:val="24"/>
          <w:u w:val="single"/>
        </w:rPr>
        <w:t>0.5％</w:t>
      </w:r>
      <w:r>
        <w:rPr>
          <w:rFonts w:ascii="楷体_GB2312" w:hAnsi="宋体" w:eastAsia="楷体_GB2312" w:cs="宋体"/>
          <w:sz w:val="24"/>
        </w:rPr>
        <w:t>的滞纳金，但滞纳金累计不得超过逾期交付合同总额</w:t>
      </w:r>
      <w:r>
        <w:rPr>
          <w:rFonts w:ascii="楷体_GB2312" w:hAnsi="宋体" w:eastAsia="楷体_GB2312" w:cs="宋体"/>
          <w:sz w:val="24"/>
          <w:u w:val="single"/>
        </w:rPr>
        <w:t>的5％</w:t>
      </w:r>
      <w:r>
        <w:rPr>
          <w:rFonts w:ascii="楷体_GB2312" w:hAnsi="宋体" w:eastAsia="楷体_GB2312" w:cs="宋体"/>
          <w:sz w:val="24"/>
        </w:rPr>
        <w:t>；一旦滞纳金总额累计达到逾期交付合同总额的</w:t>
      </w:r>
      <w:r>
        <w:rPr>
          <w:rFonts w:ascii="楷体_GB2312" w:hAnsi="宋体" w:eastAsia="楷体_GB2312" w:cs="宋体"/>
          <w:sz w:val="24"/>
          <w:u w:val="single"/>
        </w:rPr>
        <w:t>5％</w:t>
      </w:r>
      <w:r>
        <w:rPr>
          <w:rFonts w:ascii="楷体_GB2312" w:hAnsi="宋体" w:eastAsia="楷体_GB2312" w:cs="宋体"/>
          <w:sz w:val="24"/>
        </w:rPr>
        <w:t>，采购人有权解除合同。逾期超过</w:t>
      </w:r>
      <w:r>
        <w:rPr>
          <w:rFonts w:ascii="楷体_GB2312" w:hAnsi="宋体" w:eastAsia="楷体_GB2312" w:cs="宋体"/>
          <w:sz w:val="24"/>
          <w:u w:val="single"/>
        </w:rPr>
        <w:t>1年</w:t>
      </w:r>
      <w:r>
        <w:rPr>
          <w:rFonts w:ascii="楷体_GB2312" w:hAnsi="宋体" w:eastAsia="楷体_GB2312" w:cs="宋体"/>
          <w:sz w:val="24"/>
        </w:rPr>
        <w:t>，视乙方无法完成项目，项目自动终止，采购人停止支付剩余款项并按相关条款进行处理，剩余款项包括已经申请但并未支付款项。</w:t>
      </w:r>
    </w:p>
    <w:p>
      <w:pPr>
        <w:widowControl/>
        <w:adjustRightInd w:val="0"/>
        <w:spacing w:line="440" w:lineRule="exact"/>
        <w:ind w:firstLine="480" w:firstLineChars="200"/>
        <w:jc w:val="left"/>
        <w:rPr>
          <w:rFonts w:ascii="楷体_GB2312" w:hAnsi="宋体" w:eastAsia="楷体_GB2312" w:cs="宋体"/>
          <w:sz w:val="24"/>
        </w:rPr>
      </w:pPr>
      <w:r>
        <w:rPr>
          <w:rFonts w:ascii="楷体_GB2312" w:hAnsi="宋体" w:eastAsia="楷体_GB2312" w:cs="宋体"/>
          <w:sz w:val="24"/>
        </w:rPr>
        <w:t>5、乙方完成的项目不符合要求的，应按照采购人选择的下列一种或多种方式承担赔偿责任：</w:t>
      </w:r>
    </w:p>
    <w:p>
      <w:pPr>
        <w:widowControl/>
        <w:adjustRightInd w:val="0"/>
        <w:spacing w:line="440" w:lineRule="exact"/>
        <w:ind w:firstLine="480" w:firstLineChars="200"/>
        <w:jc w:val="left"/>
        <w:rPr>
          <w:rFonts w:ascii="楷体_GB2312" w:hAnsi="宋体" w:eastAsia="楷体_GB2312" w:cs="宋体"/>
          <w:sz w:val="24"/>
        </w:rPr>
      </w:pPr>
      <w:r>
        <w:rPr>
          <w:rFonts w:ascii="楷体_GB2312" w:hAnsi="宋体" w:eastAsia="楷体_GB2312" w:cs="宋体"/>
          <w:sz w:val="24"/>
        </w:rPr>
        <w:t>(1)在采购人同意延长的期限内交付符合要求的提供服务并承担由此给采购人造成的一切损失；逾期未完成或完成的项目仍不符合要求，乙方应向采购人支付合同总价</w:t>
      </w:r>
      <w:r>
        <w:rPr>
          <w:rFonts w:ascii="楷体_GB2312" w:hAnsi="宋体" w:eastAsia="楷体_GB2312" w:cs="宋体"/>
          <w:sz w:val="24"/>
          <w:u w:val="single"/>
        </w:rPr>
        <w:t>10％</w:t>
      </w:r>
      <w:r>
        <w:rPr>
          <w:rFonts w:ascii="楷体_GB2312" w:hAnsi="宋体" w:eastAsia="楷体_GB2312" w:cs="宋体"/>
          <w:sz w:val="24"/>
        </w:rPr>
        <w:t>的违约金，同时采购人有权解除合同。</w:t>
      </w:r>
    </w:p>
    <w:p>
      <w:pPr>
        <w:widowControl/>
        <w:adjustRightInd w:val="0"/>
        <w:spacing w:line="440" w:lineRule="exact"/>
        <w:ind w:firstLine="480" w:firstLineChars="200"/>
        <w:jc w:val="left"/>
        <w:rPr>
          <w:rFonts w:ascii="楷体_GB2312" w:hAnsi="宋体" w:eastAsia="楷体_GB2312" w:cs="宋体"/>
          <w:sz w:val="24"/>
        </w:rPr>
      </w:pPr>
      <w:r>
        <w:rPr>
          <w:rFonts w:ascii="楷体_GB2312" w:hAnsi="宋体" w:eastAsia="楷体_GB2312" w:cs="宋体"/>
          <w:sz w:val="24"/>
        </w:rPr>
        <w:t>(2)在采购人规定时间内，修正有缺陷的部分以达到合同规定的要求并承担一切费用和风险，同时承担采购人因此所遭受的全部损失；</w:t>
      </w:r>
    </w:p>
    <w:p>
      <w:pPr>
        <w:widowControl/>
        <w:adjustRightInd w:val="0"/>
        <w:spacing w:line="440" w:lineRule="exact"/>
        <w:ind w:firstLine="480" w:firstLineChars="200"/>
        <w:jc w:val="left"/>
        <w:rPr>
          <w:rFonts w:ascii="楷体_GB2312" w:hAnsi="宋体" w:eastAsia="楷体_GB2312" w:cs="宋体"/>
          <w:sz w:val="24"/>
        </w:rPr>
      </w:pPr>
      <w:r>
        <w:rPr>
          <w:rFonts w:ascii="楷体_GB2312" w:hAnsi="宋体" w:eastAsia="楷体_GB2312" w:cs="宋体"/>
          <w:sz w:val="24"/>
        </w:rPr>
        <w:t>(3)按合同规定同种货币退还采购人已付款项，同时承担由此发生的一切损失和费用，包括但不限于利息、银行手续费及所需的其他必要费用。</w:t>
      </w:r>
    </w:p>
    <w:p>
      <w:pPr>
        <w:widowControl/>
        <w:adjustRightInd w:val="0"/>
        <w:spacing w:line="440" w:lineRule="exact"/>
        <w:ind w:firstLine="480" w:firstLineChars="200"/>
        <w:jc w:val="left"/>
        <w:rPr>
          <w:rFonts w:ascii="楷体_GB2312" w:hAnsi="宋体" w:eastAsia="楷体_GB2312" w:cs="宋体"/>
          <w:sz w:val="24"/>
        </w:rPr>
      </w:pPr>
      <w:r>
        <w:rPr>
          <w:rFonts w:ascii="楷体_GB2312" w:hAnsi="宋体" w:eastAsia="楷体_GB2312" w:cs="宋体"/>
          <w:sz w:val="24"/>
        </w:rPr>
        <w:t>6、乙方未按规定和承诺提供伴随服务、售后服务的，应向采购人支付合同总价</w:t>
      </w:r>
      <w:r>
        <w:rPr>
          <w:rFonts w:ascii="楷体_GB2312" w:hAnsi="宋体" w:eastAsia="楷体_GB2312" w:cs="宋体"/>
          <w:sz w:val="24"/>
          <w:u w:val="single"/>
        </w:rPr>
        <w:t>5％</w:t>
      </w:r>
      <w:r>
        <w:rPr>
          <w:rFonts w:ascii="楷体_GB2312" w:hAnsi="宋体" w:eastAsia="楷体_GB2312" w:cs="宋体"/>
          <w:sz w:val="24"/>
        </w:rPr>
        <w:t>的违约金。</w:t>
      </w:r>
    </w:p>
    <w:p>
      <w:pPr>
        <w:widowControl/>
        <w:adjustRightInd w:val="0"/>
        <w:spacing w:line="440" w:lineRule="exact"/>
        <w:ind w:firstLine="480" w:firstLineChars="200"/>
        <w:jc w:val="left"/>
        <w:rPr>
          <w:rFonts w:ascii="楷体_GB2312" w:hAnsi="宋体" w:eastAsia="楷体_GB2312" w:cs="宋体"/>
          <w:sz w:val="24"/>
        </w:rPr>
      </w:pPr>
      <w:r>
        <w:rPr>
          <w:rFonts w:ascii="楷体_GB2312" w:hAnsi="宋体" w:eastAsia="楷体_GB2312" w:cs="宋体"/>
          <w:sz w:val="24"/>
        </w:rPr>
        <w:t>7、违约方承担违约责任并不影响其合同项下的义务(合同解除的除外)。</w:t>
      </w:r>
    </w:p>
    <w:p>
      <w:pPr>
        <w:widowControl/>
        <w:adjustRightInd w:val="0"/>
        <w:spacing w:line="440" w:lineRule="exact"/>
        <w:ind w:firstLine="480" w:firstLineChars="200"/>
        <w:jc w:val="left"/>
        <w:rPr>
          <w:rFonts w:ascii="楷体_GB2312" w:hAnsi="宋体" w:eastAsia="楷体_GB2312" w:cs="宋体"/>
          <w:sz w:val="24"/>
          <w:u w:val="single"/>
        </w:rPr>
      </w:pPr>
      <w:r>
        <w:rPr>
          <w:rFonts w:ascii="楷体_GB2312" w:hAnsi="宋体" w:eastAsia="楷体_GB2312" w:cs="宋体"/>
          <w:sz w:val="24"/>
        </w:rPr>
        <w:t>8、其他：</w:t>
      </w:r>
      <w:r>
        <w:rPr>
          <w:rFonts w:ascii="楷体_GB2312" w:hAnsi="宋体" w:eastAsia="楷体_GB2312" w:cs="宋体"/>
          <w:sz w:val="24"/>
          <w:u w:val="single"/>
        </w:rPr>
        <w:t>　　　　　　　　　　　　　　　　　　　　　　　　　　　　</w:t>
      </w:r>
    </w:p>
    <w:p>
      <w:pPr>
        <w:widowControl/>
        <w:adjustRightInd w:val="0"/>
        <w:spacing w:line="440" w:lineRule="exact"/>
        <w:jc w:val="left"/>
        <w:rPr>
          <w:rFonts w:ascii="黑体" w:hAnsi="宋体" w:eastAsia="黑体" w:cs="宋体"/>
          <w:bCs/>
          <w:sz w:val="24"/>
        </w:rPr>
      </w:pPr>
      <w:r>
        <w:rPr>
          <w:rFonts w:hint="eastAsia" w:ascii="黑体" w:hAnsi="宋体" w:eastAsia="黑体" w:cs="宋体"/>
          <w:bCs/>
          <w:sz w:val="24"/>
          <w:lang w:val="zh-CN"/>
        </w:rPr>
        <w:t>第九条　</w:t>
      </w:r>
      <w:r>
        <w:rPr>
          <w:rFonts w:hint="eastAsia" w:ascii="黑体" w:hAnsi="宋体" w:eastAsia="黑体" w:cs="宋体"/>
          <w:bCs/>
          <w:sz w:val="24"/>
        </w:rPr>
        <w:t>不可抗力</w:t>
      </w:r>
    </w:p>
    <w:p>
      <w:pPr>
        <w:widowControl/>
        <w:adjustRightInd w:val="0"/>
        <w:spacing w:line="440" w:lineRule="exact"/>
        <w:ind w:firstLine="480" w:firstLineChars="200"/>
        <w:jc w:val="left"/>
        <w:rPr>
          <w:rFonts w:ascii="楷体_GB2312" w:hAnsi="宋体" w:eastAsia="楷体_GB2312" w:cs="宋体"/>
          <w:bCs/>
          <w:sz w:val="24"/>
        </w:rPr>
      </w:pPr>
      <w:r>
        <w:rPr>
          <w:rFonts w:ascii="楷体_GB2312" w:hAnsi="宋体" w:eastAsia="楷体_GB2312" w:cs="宋体"/>
          <w:bCs/>
          <w:sz w:val="24"/>
        </w:rPr>
        <w:t>1、不可抗力，是指不能预见、不能避免并不能克服的客观情况，如战争、动乱、瘟疫、严重火灾、洪水、地震、风暴或其他自然灾害等。</w:t>
      </w:r>
    </w:p>
    <w:p>
      <w:pPr>
        <w:widowControl/>
        <w:adjustRightInd w:val="0"/>
        <w:spacing w:line="440" w:lineRule="exact"/>
        <w:ind w:firstLine="480" w:firstLineChars="200"/>
        <w:jc w:val="left"/>
        <w:rPr>
          <w:rFonts w:ascii="楷体_GB2312" w:hAnsi="宋体" w:eastAsia="楷体_GB2312" w:cs="宋体"/>
          <w:bCs/>
          <w:sz w:val="24"/>
        </w:rPr>
      </w:pPr>
      <w:r>
        <w:rPr>
          <w:rFonts w:ascii="楷体_GB2312" w:hAnsi="宋体" w:eastAsia="楷体_GB2312" w:cs="宋体"/>
          <w:bCs/>
          <w:sz w:val="24"/>
        </w:rPr>
        <w:t>2、任何一方因不可抗力不能履行本合同规定的全部或部分义务，应尽快以书面形式将不可抗力的情况、原因及对履行本合同的影响等及时通知另一方。同时，遭受不可抗力影响的一方有义务尽可能及时采取适当或必要措施减少或消除不可抗力的影响，因未尽本义务而造成的相关损失由其承担。</w:t>
      </w:r>
    </w:p>
    <w:p>
      <w:pPr>
        <w:widowControl/>
        <w:adjustRightInd w:val="0"/>
        <w:spacing w:line="440" w:lineRule="exact"/>
        <w:ind w:firstLine="480" w:firstLineChars="200"/>
        <w:jc w:val="left"/>
        <w:rPr>
          <w:rFonts w:ascii="楷体_GB2312" w:hAnsi="宋体" w:eastAsia="楷体_GB2312" w:cs="宋体"/>
          <w:bCs/>
          <w:sz w:val="24"/>
        </w:rPr>
      </w:pPr>
      <w:r>
        <w:rPr>
          <w:rFonts w:ascii="楷体_GB2312" w:hAnsi="宋体" w:eastAsia="楷体_GB2312" w:cs="宋体"/>
          <w:bCs/>
          <w:sz w:val="24"/>
        </w:rPr>
        <w:t>3、发生不可抗力事件，任何一方均不对因不可抗力无法履行或迟延履行本合同义务而使另一方蒙受的任何损失承担责任，法律另有规定的除外。</w:t>
      </w:r>
    </w:p>
    <w:p>
      <w:pPr>
        <w:widowControl/>
        <w:adjustRightInd w:val="0"/>
        <w:spacing w:line="440" w:lineRule="exact"/>
        <w:ind w:firstLine="480" w:firstLineChars="200"/>
        <w:jc w:val="left"/>
        <w:rPr>
          <w:rFonts w:ascii="楷体_GB2312" w:hAnsi="宋体" w:eastAsia="楷体_GB2312" w:cs="宋体"/>
          <w:bCs/>
          <w:sz w:val="24"/>
        </w:rPr>
      </w:pPr>
      <w:r>
        <w:rPr>
          <w:rFonts w:ascii="楷体_GB2312" w:hAnsi="宋体" w:eastAsia="楷体_GB2312" w:cs="宋体"/>
          <w:bCs/>
          <w:sz w:val="24"/>
        </w:rPr>
        <w:t>4、合同各方应根据不可抗力对本合同履行的影响程度，协商确定是否终止本合同或是继续履行本合同。</w:t>
      </w:r>
    </w:p>
    <w:p>
      <w:pPr>
        <w:widowControl/>
        <w:adjustRightInd w:val="0"/>
        <w:spacing w:line="440" w:lineRule="exact"/>
        <w:jc w:val="left"/>
        <w:rPr>
          <w:rFonts w:ascii="黑体" w:hAnsi="宋体" w:eastAsia="黑体" w:cs="宋体"/>
          <w:bCs/>
          <w:sz w:val="24"/>
          <w:lang w:val="zh-CN"/>
        </w:rPr>
      </w:pPr>
      <w:r>
        <w:rPr>
          <w:rFonts w:hint="eastAsia" w:ascii="黑体" w:hAnsi="宋体" w:eastAsia="黑体" w:cs="宋体"/>
          <w:sz w:val="24"/>
        </w:rPr>
        <w:t>第十条　</w:t>
      </w:r>
      <w:r>
        <w:rPr>
          <w:rFonts w:hint="eastAsia" w:ascii="黑体" w:hAnsi="宋体" w:eastAsia="黑体" w:cs="宋体"/>
          <w:bCs/>
          <w:sz w:val="24"/>
          <w:lang w:val="zh-CN"/>
        </w:rPr>
        <w:t>合同的变更和终止</w:t>
      </w:r>
    </w:p>
    <w:p>
      <w:pPr>
        <w:widowControl/>
        <w:adjustRightInd w:val="0"/>
        <w:spacing w:line="440" w:lineRule="exact"/>
        <w:ind w:firstLine="480" w:firstLineChars="200"/>
        <w:jc w:val="left"/>
        <w:rPr>
          <w:rFonts w:ascii="楷体_GB2312" w:hAnsi="宋体" w:eastAsia="楷体_GB2312" w:cs="宋体"/>
          <w:sz w:val="24"/>
          <w:lang w:val="zh-CN"/>
        </w:rPr>
      </w:pPr>
      <w:r>
        <w:rPr>
          <w:rFonts w:ascii="楷体_GB2312" w:hAnsi="宋体" w:eastAsia="楷体_GB2312"/>
          <w:sz w:val="24"/>
          <w:lang w:val="zh-CN"/>
        </w:rPr>
        <w:t>1</w:t>
      </w:r>
      <w:r>
        <w:rPr>
          <w:rFonts w:ascii="楷体_GB2312" w:hAnsi="宋体" w:eastAsia="楷体_GB2312" w:cs="宋体"/>
          <w:sz w:val="24"/>
          <w:lang w:val="zh-CN"/>
        </w:rPr>
        <w:t>、除《政府采购法》第</w:t>
      </w:r>
      <w:r>
        <w:rPr>
          <w:rFonts w:ascii="楷体_GB2312" w:hAnsi="宋体" w:eastAsia="楷体_GB2312"/>
          <w:sz w:val="24"/>
          <w:lang w:val="zh-CN"/>
        </w:rPr>
        <w:t>五十</w:t>
      </w:r>
      <w:r>
        <w:rPr>
          <w:rFonts w:ascii="楷体_GB2312" w:hAnsi="宋体" w:eastAsia="楷体_GB2312" w:cs="宋体"/>
          <w:sz w:val="24"/>
          <w:lang w:val="zh-CN"/>
        </w:rPr>
        <w:t>条规定的情形外，本合同一经签订，甲乙双方不得擅自变更、中止或终止合同。</w:t>
      </w:r>
    </w:p>
    <w:p>
      <w:pPr>
        <w:widowControl/>
        <w:adjustRightInd w:val="0"/>
        <w:spacing w:line="440" w:lineRule="exact"/>
        <w:ind w:firstLine="480" w:firstLineChars="200"/>
        <w:jc w:val="left"/>
        <w:rPr>
          <w:rFonts w:ascii="楷体_GB2312" w:hAnsi="宋体" w:eastAsia="楷体_GB2312" w:cs="宋体"/>
          <w:sz w:val="24"/>
        </w:rPr>
      </w:pPr>
      <w:r>
        <w:rPr>
          <w:rFonts w:ascii="楷体_GB2312" w:hAnsi="宋体" w:eastAsia="楷体_GB2312"/>
          <w:sz w:val="24"/>
          <w:lang w:val="zh-CN"/>
        </w:rPr>
        <w:t>2</w:t>
      </w:r>
      <w:r>
        <w:rPr>
          <w:rFonts w:ascii="楷体_GB2312" w:hAnsi="宋体" w:eastAsia="楷体_GB2312" w:cs="宋体"/>
          <w:sz w:val="24"/>
          <w:lang w:val="zh-CN"/>
        </w:rPr>
        <w:t>、</w:t>
      </w:r>
      <w:r>
        <w:rPr>
          <w:rFonts w:ascii="楷体_GB2312" w:hAnsi="宋体" w:eastAsia="楷体_GB2312" w:cs="宋体"/>
          <w:sz w:val="24"/>
        </w:rPr>
        <w:t>除发生法律规定的不能预见、不能避免并不能克服的客观情况外，甲乙双方不得放弃或拒绝履行合同。</w:t>
      </w:r>
    </w:p>
    <w:p>
      <w:pPr>
        <w:widowControl/>
        <w:adjustRightInd w:val="0"/>
        <w:spacing w:line="440" w:lineRule="exact"/>
        <w:jc w:val="left"/>
        <w:rPr>
          <w:rFonts w:ascii="黑体" w:hAnsi="宋体" w:eastAsia="黑体" w:cs="宋体"/>
          <w:sz w:val="24"/>
        </w:rPr>
      </w:pPr>
      <w:r>
        <w:rPr>
          <w:rFonts w:hint="eastAsia" w:ascii="黑体" w:hAnsi="宋体" w:eastAsia="黑体" w:cs="宋体"/>
          <w:sz w:val="24"/>
        </w:rPr>
        <w:t>第十一条  合同的终止</w:t>
      </w:r>
    </w:p>
    <w:p>
      <w:pPr>
        <w:widowControl/>
        <w:adjustRightInd w:val="0"/>
        <w:spacing w:line="440" w:lineRule="exact"/>
        <w:ind w:firstLine="480" w:firstLineChars="200"/>
        <w:jc w:val="left"/>
        <w:rPr>
          <w:rFonts w:ascii="楷体_GB2312" w:hAnsi="宋体" w:eastAsia="楷体_GB2312" w:cs="宋体"/>
          <w:sz w:val="24"/>
        </w:rPr>
      </w:pPr>
      <w:r>
        <w:rPr>
          <w:rFonts w:ascii="楷体_GB2312" w:hAnsi="宋体" w:eastAsia="楷体_GB2312" w:cs="宋体"/>
          <w:sz w:val="24"/>
        </w:rPr>
        <w:t>本合同因下列原因而终止：</w:t>
      </w:r>
    </w:p>
    <w:p>
      <w:pPr>
        <w:widowControl/>
        <w:adjustRightInd w:val="0"/>
        <w:spacing w:line="440" w:lineRule="exact"/>
        <w:ind w:firstLine="482" w:firstLineChars="200"/>
        <w:jc w:val="left"/>
        <w:rPr>
          <w:rFonts w:ascii="楷体_GB2312" w:hAnsi="宋体" w:eastAsia="楷体_GB2312" w:cs="宋体"/>
          <w:b/>
          <w:sz w:val="24"/>
          <w:u w:val="single"/>
        </w:rPr>
      </w:pPr>
      <w:r>
        <w:rPr>
          <w:rFonts w:ascii="楷体_GB2312" w:hAnsi="宋体" w:eastAsia="楷体_GB2312" w:cs="宋体"/>
          <w:b/>
          <w:sz w:val="24"/>
          <w:u w:val="single"/>
        </w:rPr>
        <w:t>(1)本合同正常履行完毕；</w:t>
      </w:r>
    </w:p>
    <w:p>
      <w:pPr>
        <w:widowControl/>
        <w:adjustRightInd w:val="0"/>
        <w:spacing w:line="440" w:lineRule="exact"/>
        <w:ind w:firstLine="482" w:firstLineChars="200"/>
        <w:jc w:val="left"/>
        <w:rPr>
          <w:rFonts w:ascii="楷体_GB2312" w:hAnsi="宋体" w:eastAsia="楷体_GB2312" w:cs="宋体"/>
          <w:b/>
          <w:sz w:val="24"/>
          <w:u w:val="single"/>
        </w:rPr>
      </w:pPr>
      <w:r>
        <w:rPr>
          <w:rFonts w:ascii="楷体_GB2312" w:hAnsi="宋体" w:eastAsia="楷体_GB2312" w:cs="宋体"/>
          <w:b/>
          <w:sz w:val="24"/>
          <w:u w:val="single"/>
        </w:rPr>
        <w:t>(2)因不可抗力导致本合同无法履行或履行不必要；</w:t>
      </w:r>
    </w:p>
    <w:p>
      <w:pPr>
        <w:widowControl/>
        <w:adjustRightInd w:val="0"/>
        <w:spacing w:line="440" w:lineRule="exact"/>
        <w:ind w:firstLine="482" w:firstLineChars="200"/>
        <w:jc w:val="left"/>
        <w:rPr>
          <w:rFonts w:ascii="楷体_GB2312" w:hAnsi="宋体" w:eastAsia="楷体_GB2312" w:cs="宋体"/>
          <w:b/>
          <w:sz w:val="24"/>
          <w:u w:val="single"/>
        </w:rPr>
      </w:pPr>
      <w:r>
        <w:rPr>
          <w:rFonts w:ascii="楷体_GB2312" w:hAnsi="宋体" w:eastAsia="楷体_GB2312" w:cs="宋体"/>
          <w:b/>
          <w:sz w:val="24"/>
          <w:u w:val="single"/>
        </w:rPr>
        <w:t>(3)任何一方行使解除权解除本合同；</w:t>
      </w:r>
    </w:p>
    <w:p>
      <w:pPr>
        <w:widowControl/>
        <w:adjustRightInd w:val="0"/>
        <w:spacing w:line="440" w:lineRule="exact"/>
        <w:ind w:firstLine="482" w:firstLineChars="200"/>
        <w:jc w:val="left"/>
        <w:rPr>
          <w:rFonts w:ascii="楷体_GB2312" w:hAnsi="宋体" w:eastAsia="楷体_GB2312" w:cs="宋体"/>
          <w:b/>
          <w:sz w:val="24"/>
          <w:u w:val="single"/>
        </w:rPr>
      </w:pPr>
      <w:r>
        <w:rPr>
          <w:rFonts w:ascii="楷体_GB2312" w:hAnsi="宋体" w:eastAsia="楷体_GB2312" w:cs="宋体"/>
          <w:b/>
          <w:sz w:val="24"/>
          <w:u w:val="single"/>
        </w:rPr>
        <w:t>(4)合同的继续履行将损害国家利益和社会公共利益。</w:t>
      </w:r>
    </w:p>
    <w:p>
      <w:pPr>
        <w:widowControl/>
        <w:adjustRightInd w:val="0"/>
        <w:spacing w:line="440" w:lineRule="exact"/>
        <w:ind w:firstLine="480" w:firstLineChars="200"/>
        <w:jc w:val="left"/>
        <w:rPr>
          <w:rFonts w:ascii="楷体_GB2312" w:hAnsi="宋体" w:eastAsia="楷体_GB2312" w:cs="宋体"/>
          <w:sz w:val="24"/>
        </w:rPr>
      </w:pPr>
      <w:r>
        <w:rPr>
          <w:rFonts w:ascii="楷体_GB2312" w:hAnsi="宋体" w:eastAsia="楷体_GB2312" w:cs="宋体"/>
          <w:sz w:val="24"/>
        </w:rPr>
        <w:t>除上述情形外，甲乙双方不得擅自终止合同。</w:t>
      </w:r>
    </w:p>
    <w:p>
      <w:pPr>
        <w:widowControl/>
        <w:adjustRightInd w:val="0"/>
        <w:spacing w:line="440" w:lineRule="exact"/>
        <w:jc w:val="left"/>
        <w:rPr>
          <w:rFonts w:ascii="黑体" w:hAnsi="宋体" w:eastAsia="黑体" w:cs="宋体"/>
          <w:bCs/>
          <w:sz w:val="24"/>
          <w:lang w:val="zh-CN"/>
        </w:rPr>
      </w:pPr>
      <w:r>
        <w:rPr>
          <w:rFonts w:hint="eastAsia" w:ascii="黑体" w:hAnsi="宋体" w:eastAsia="黑体" w:cs="宋体"/>
          <w:bCs/>
          <w:sz w:val="24"/>
          <w:lang w:val="zh-CN"/>
        </w:rPr>
        <w:t>第十二条　争议的解决</w:t>
      </w:r>
    </w:p>
    <w:p>
      <w:pPr>
        <w:widowControl/>
        <w:adjustRightInd w:val="0"/>
        <w:spacing w:line="440" w:lineRule="exact"/>
        <w:ind w:firstLine="480" w:firstLineChars="200"/>
        <w:jc w:val="left"/>
        <w:rPr>
          <w:rFonts w:ascii="楷体_GB2312" w:hAnsi="宋体" w:eastAsia="楷体_GB2312" w:cs="宋体"/>
          <w:sz w:val="24"/>
          <w:lang w:val="zh-CN"/>
        </w:rPr>
      </w:pPr>
      <w:r>
        <w:rPr>
          <w:rFonts w:ascii="楷体_GB2312" w:hAnsi="宋体" w:eastAsia="楷体_GB2312" w:cs="宋体"/>
          <w:sz w:val="24"/>
          <w:lang w:val="zh-CN"/>
        </w:rPr>
        <w:t>1、因履行本合同引起的或与本合同有关的争议，甲、乙双方应首先通过友好协商解决，如果协商不能解决争议，则采取以下第种方式解决争议：</w:t>
      </w:r>
    </w:p>
    <w:p>
      <w:pPr>
        <w:widowControl/>
        <w:adjustRightInd w:val="0"/>
        <w:spacing w:line="440" w:lineRule="exact"/>
        <w:ind w:firstLine="480" w:firstLineChars="200"/>
        <w:jc w:val="left"/>
        <w:rPr>
          <w:rFonts w:ascii="楷体_GB2312" w:hAnsi="宋体" w:eastAsia="楷体_GB2312" w:cs="宋体"/>
          <w:sz w:val="24"/>
          <w:lang w:val="zh-CN"/>
        </w:rPr>
      </w:pPr>
      <w:r>
        <w:rPr>
          <w:rFonts w:ascii="楷体_GB2312" w:hAnsi="宋体" w:eastAsia="楷体_GB2312" w:cs="宋体"/>
          <w:sz w:val="24"/>
          <w:lang w:val="zh-CN"/>
        </w:rPr>
        <w:t>（1）向采购人所在地有管辖权的人民法院提起诉讼；</w:t>
      </w:r>
    </w:p>
    <w:p>
      <w:pPr>
        <w:widowControl/>
        <w:adjustRightInd w:val="0"/>
        <w:spacing w:line="440" w:lineRule="exact"/>
        <w:ind w:firstLine="480" w:firstLineChars="200"/>
        <w:jc w:val="left"/>
        <w:rPr>
          <w:rFonts w:ascii="楷体_GB2312" w:hAnsi="宋体" w:eastAsia="楷体_GB2312" w:cs="宋体"/>
          <w:sz w:val="24"/>
          <w:lang w:val="zh-CN"/>
        </w:rPr>
      </w:pPr>
      <w:r>
        <w:rPr>
          <w:rFonts w:ascii="楷体_GB2312" w:hAnsi="宋体" w:eastAsia="楷体_GB2312" w:cs="宋体"/>
          <w:sz w:val="24"/>
          <w:lang w:val="zh-CN"/>
        </w:rPr>
        <w:t>（2）向采购人所在地仲裁委员会按其仲裁规则申请仲裁。</w:t>
      </w:r>
    </w:p>
    <w:p>
      <w:pPr>
        <w:widowControl/>
        <w:adjustRightInd w:val="0"/>
        <w:spacing w:line="440" w:lineRule="exact"/>
        <w:jc w:val="left"/>
        <w:rPr>
          <w:rFonts w:ascii="楷体_GB2312" w:hAnsi="宋体" w:eastAsia="楷体_GB2312" w:cs="宋体"/>
          <w:sz w:val="24"/>
          <w:lang w:val="zh-CN"/>
        </w:rPr>
      </w:pPr>
      <w:r>
        <w:rPr>
          <w:rFonts w:ascii="楷体_GB2312" w:hAnsi="宋体" w:eastAsia="楷体_GB2312" w:cs="宋体"/>
          <w:sz w:val="24"/>
          <w:lang w:val="zh-CN"/>
        </w:rPr>
        <w:t>2、在仲裁期间，本合同应继续履行。</w:t>
      </w:r>
    </w:p>
    <w:p>
      <w:pPr>
        <w:widowControl/>
        <w:adjustRightInd w:val="0"/>
        <w:spacing w:line="440" w:lineRule="exact"/>
        <w:jc w:val="left"/>
        <w:rPr>
          <w:rFonts w:ascii="黑体" w:hAnsi="宋体" w:eastAsia="黑体" w:cs="宋体"/>
          <w:bCs/>
          <w:sz w:val="24"/>
          <w:lang w:val="zh-CN"/>
        </w:rPr>
      </w:pPr>
      <w:r>
        <w:rPr>
          <w:rFonts w:hint="eastAsia" w:ascii="黑体" w:hAnsi="宋体" w:eastAsia="黑体" w:cs="宋体"/>
          <w:bCs/>
          <w:sz w:val="24"/>
          <w:lang w:val="zh-CN"/>
        </w:rPr>
        <w:t>第十三条　合同生效及其他</w:t>
      </w:r>
    </w:p>
    <w:p>
      <w:pPr>
        <w:widowControl/>
        <w:adjustRightInd w:val="0"/>
        <w:spacing w:line="440" w:lineRule="exact"/>
        <w:ind w:firstLine="420"/>
        <w:jc w:val="left"/>
        <w:rPr>
          <w:rFonts w:ascii="楷体_GB2312" w:hAnsi="宋体" w:eastAsia="楷体_GB2312" w:cs="宋体"/>
          <w:sz w:val="24"/>
        </w:rPr>
      </w:pPr>
      <w:r>
        <w:rPr>
          <w:rFonts w:ascii="楷体_GB2312" w:hAnsi="宋体" w:eastAsia="楷体_GB2312" w:cs="宋体"/>
          <w:sz w:val="24"/>
          <w:lang w:val="zh-CN"/>
        </w:rPr>
        <w:t>1、</w:t>
      </w:r>
      <w:r>
        <w:rPr>
          <w:rFonts w:ascii="楷体_GB2312" w:hAnsi="宋体" w:eastAsia="楷体_GB2312" w:cs="宋体"/>
          <w:sz w:val="24"/>
        </w:rPr>
        <w:t>本合同由甲乙双方签字、盖章后生效。</w:t>
      </w:r>
    </w:p>
    <w:p>
      <w:pPr>
        <w:widowControl/>
        <w:adjustRightInd w:val="0"/>
        <w:spacing w:line="360" w:lineRule="exact"/>
        <w:ind w:firstLine="420"/>
        <w:jc w:val="left"/>
        <w:rPr>
          <w:rFonts w:ascii="楷体" w:hAnsi="楷体" w:eastAsia="楷体" w:cs="楷体"/>
          <w:sz w:val="24"/>
          <w:lang w:val="zh-CN"/>
        </w:rPr>
      </w:pPr>
      <w:r>
        <w:rPr>
          <w:rFonts w:hint="eastAsia" w:ascii="楷体" w:hAnsi="楷体" w:eastAsia="楷体" w:cs="楷体"/>
          <w:sz w:val="24"/>
        </w:rPr>
        <w:t>2、</w:t>
      </w:r>
      <w:r>
        <w:rPr>
          <w:rFonts w:hint="eastAsia" w:ascii="楷体" w:hAnsi="楷体" w:eastAsia="楷体" w:cs="楷体"/>
          <w:sz w:val="24"/>
          <w:lang w:val="zh-CN"/>
        </w:rPr>
        <w:t>本合同一式三份，采购人、乙方、</w:t>
      </w:r>
      <w:r>
        <w:rPr>
          <w:rFonts w:hint="eastAsia" w:ascii="楷体" w:hAnsi="楷体" w:eastAsia="楷体" w:cs="楷体"/>
          <w:sz w:val="24"/>
        </w:rPr>
        <w:t>见证方</w:t>
      </w:r>
      <w:r>
        <w:rPr>
          <w:rFonts w:hint="eastAsia" w:ascii="楷体" w:hAnsi="楷体" w:eastAsia="楷体" w:cs="楷体"/>
          <w:sz w:val="24"/>
          <w:lang w:val="zh-CN"/>
        </w:rPr>
        <w:t>各执一份。</w:t>
      </w:r>
    </w:p>
    <w:p>
      <w:pPr>
        <w:widowControl/>
        <w:adjustRightInd w:val="0"/>
        <w:spacing w:line="360" w:lineRule="exact"/>
        <w:ind w:firstLine="420"/>
        <w:jc w:val="left"/>
        <w:rPr>
          <w:rFonts w:ascii="楷体" w:hAnsi="楷体" w:eastAsia="楷体" w:cs="楷体"/>
          <w:sz w:val="24"/>
          <w:lang w:val="zh-CN"/>
        </w:rPr>
      </w:pPr>
      <w:r>
        <w:rPr>
          <w:rFonts w:ascii="楷体" w:hAnsi="楷体" w:eastAsia="楷体" w:cs="楷体"/>
          <w:sz w:val="24"/>
          <w:lang w:val="zh-CN"/>
        </w:rPr>
        <w:t>3</w:t>
      </w:r>
      <w:r>
        <w:rPr>
          <w:rFonts w:hint="eastAsia" w:ascii="楷体" w:hAnsi="楷体" w:eastAsia="楷体" w:cs="楷体"/>
          <w:sz w:val="24"/>
          <w:lang w:val="zh-CN"/>
        </w:rPr>
        <w:t>、本合同应按照中华人民共和国的现行法律进行解释。</w:t>
      </w:r>
    </w:p>
    <w:p>
      <w:pPr>
        <w:widowControl/>
        <w:adjustRightInd w:val="0"/>
        <w:spacing w:line="440" w:lineRule="exact"/>
        <w:ind w:firstLine="420"/>
        <w:jc w:val="left"/>
        <w:rPr>
          <w:rFonts w:ascii="楷体_GB2312" w:hAnsi="宋体" w:eastAsia="楷体_GB2312" w:cs="宋体"/>
          <w:sz w:val="24"/>
          <w:lang w:val="zh-CN"/>
        </w:rPr>
      </w:pPr>
    </w:p>
    <w:p>
      <w:pPr>
        <w:pStyle w:val="8"/>
        <w:ind w:firstLine="424" w:firstLineChars="177"/>
        <w:rPr>
          <w:rFonts w:hAnsi="宋体"/>
          <w:sz w:val="24"/>
          <w:szCs w:val="24"/>
        </w:rPr>
      </w:pPr>
    </w:p>
    <w:p>
      <w:pPr>
        <w:snapToGrid w:val="0"/>
        <w:spacing w:line="360" w:lineRule="auto"/>
        <w:ind w:firstLine="210"/>
        <w:rPr>
          <w:rFonts w:ascii="楷体_GB2312" w:hAnsi="宋体" w:eastAsia="楷体_GB2312"/>
          <w:b/>
          <w:sz w:val="24"/>
        </w:rPr>
      </w:pPr>
    </w:p>
    <w:p>
      <w:pPr>
        <w:snapToGrid w:val="0"/>
        <w:spacing w:line="360" w:lineRule="auto"/>
        <w:ind w:firstLine="210"/>
        <w:rPr>
          <w:rFonts w:ascii="楷体_GB2312" w:hAnsi="宋体" w:eastAsia="楷体_GB2312"/>
          <w:sz w:val="24"/>
        </w:rPr>
      </w:pPr>
      <w:r>
        <w:rPr>
          <w:rFonts w:hint="eastAsia" w:ascii="楷体_GB2312" w:hAnsi="宋体" w:eastAsia="楷体_GB2312"/>
          <w:b/>
          <w:sz w:val="24"/>
        </w:rPr>
        <w:t>甲    方（章）：                      乙    方（章）：</w:t>
      </w:r>
    </w:p>
    <w:p>
      <w:pPr>
        <w:snapToGrid w:val="0"/>
        <w:spacing w:line="360" w:lineRule="auto"/>
        <w:ind w:right="-735" w:rightChars="-350" w:firstLine="210"/>
        <w:rPr>
          <w:rFonts w:ascii="楷体_GB2312" w:hAnsi="宋体" w:eastAsia="楷体_GB2312"/>
          <w:sz w:val="24"/>
        </w:rPr>
      </w:pPr>
      <w:r>
        <w:rPr>
          <w:rFonts w:hint="eastAsia" w:ascii="楷体_GB2312" w:hAnsi="宋体" w:eastAsia="楷体_GB2312"/>
          <w:sz w:val="24"/>
        </w:rPr>
        <w:t xml:space="preserve">单位地址：                            单位地址： </w:t>
      </w:r>
    </w:p>
    <w:p>
      <w:pPr>
        <w:snapToGrid w:val="0"/>
        <w:spacing w:line="360" w:lineRule="auto"/>
        <w:ind w:firstLine="210"/>
        <w:rPr>
          <w:rFonts w:ascii="楷体_GB2312" w:hAnsi="宋体" w:eastAsia="楷体_GB2312"/>
          <w:sz w:val="24"/>
        </w:rPr>
      </w:pPr>
      <w:r>
        <w:rPr>
          <w:rFonts w:hint="eastAsia" w:ascii="楷体_GB2312" w:hAnsi="宋体" w:eastAsia="楷体_GB2312"/>
          <w:sz w:val="24"/>
        </w:rPr>
        <w:t>法定代表人：                          法定代表人：</w:t>
      </w:r>
    </w:p>
    <w:p>
      <w:pPr>
        <w:snapToGrid w:val="0"/>
        <w:spacing w:line="360" w:lineRule="auto"/>
        <w:ind w:firstLine="210"/>
        <w:rPr>
          <w:rFonts w:ascii="楷体_GB2312" w:hAnsi="宋体" w:eastAsia="楷体_GB2312"/>
          <w:sz w:val="24"/>
        </w:rPr>
      </w:pPr>
      <w:r>
        <w:rPr>
          <w:rFonts w:hint="eastAsia" w:ascii="楷体_GB2312" w:hAnsi="宋体" w:eastAsia="楷体_GB2312"/>
          <w:sz w:val="24"/>
        </w:rPr>
        <w:t>委托代理人：                          委托代理人：</w:t>
      </w:r>
    </w:p>
    <w:p>
      <w:pPr>
        <w:snapToGrid w:val="0"/>
        <w:spacing w:line="360" w:lineRule="auto"/>
        <w:ind w:firstLine="210"/>
        <w:rPr>
          <w:rFonts w:ascii="楷体_GB2312" w:hAnsi="宋体" w:eastAsia="楷体_GB2312"/>
          <w:sz w:val="24"/>
        </w:rPr>
      </w:pPr>
      <w:r>
        <w:rPr>
          <w:rFonts w:hint="eastAsia" w:ascii="楷体_GB2312" w:hAnsi="宋体" w:eastAsia="楷体_GB2312"/>
          <w:sz w:val="24"/>
        </w:rPr>
        <w:t>电    话：                            电    话：</w:t>
      </w:r>
    </w:p>
    <w:p>
      <w:pPr>
        <w:snapToGrid w:val="0"/>
        <w:spacing w:line="360" w:lineRule="auto"/>
        <w:ind w:firstLine="120" w:firstLineChars="50"/>
        <w:rPr>
          <w:rFonts w:ascii="楷体_GB2312" w:hAnsi="宋体" w:eastAsia="楷体_GB2312"/>
          <w:sz w:val="24"/>
        </w:rPr>
      </w:pPr>
      <w:r>
        <w:rPr>
          <w:rFonts w:hint="eastAsia" w:ascii="楷体_GB2312" w:hAnsi="宋体" w:eastAsia="楷体_GB2312"/>
          <w:b/>
          <w:bCs/>
          <w:sz w:val="24"/>
        </w:rPr>
        <w:t>见 证 方（章）：</w:t>
      </w:r>
      <w:r>
        <w:rPr>
          <w:rFonts w:hint="eastAsia" w:ascii="楷体_GB2312" w:hAnsi="宋体" w:eastAsia="楷体_GB2312"/>
          <w:sz w:val="24"/>
        </w:rPr>
        <w:t>常州市江苏昊丰润全建设项目管理有限公司</w:t>
      </w:r>
    </w:p>
    <w:p>
      <w:pPr>
        <w:snapToGrid w:val="0"/>
        <w:spacing w:line="360" w:lineRule="auto"/>
        <w:ind w:firstLine="120" w:firstLineChars="50"/>
        <w:rPr>
          <w:rFonts w:ascii="楷体_GB2312" w:hAnsi="宋体" w:eastAsia="楷体_GB2312"/>
          <w:b/>
          <w:bCs/>
          <w:sz w:val="24"/>
        </w:rPr>
      </w:pPr>
      <w:r>
        <w:rPr>
          <w:rFonts w:hint="eastAsia" w:ascii="楷体_GB2312" w:hAnsi="宋体" w:eastAsia="楷体_GB2312"/>
          <w:sz w:val="24"/>
        </w:rPr>
        <w:t>经办人：</w:t>
      </w:r>
    </w:p>
    <w:p>
      <w:pPr>
        <w:ind w:firstLine="117" w:firstLineChars="49"/>
        <w:jc w:val="left"/>
        <w:rPr>
          <w:rFonts w:ascii="楷体_GB2312" w:hAnsi="宋体" w:eastAsia="楷体_GB2312"/>
          <w:bCs/>
          <w:sz w:val="24"/>
        </w:rPr>
      </w:pPr>
    </w:p>
    <w:p>
      <w:pPr>
        <w:jc w:val="left"/>
        <w:rPr>
          <w:rFonts w:ascii="楷体_GB2312" w:hAnsi="宋体" w:eastAsia="楷体_GB2312"/>
          <w:b/>
          <w:bCs/>
          <w:sz w:val="32"/>
          <w:szCs w:val="32"/>
        </w:rPr>
      </w:pPr>
    </w:p>
    <w:p>
      <w:pPr>
        <w:snapToGrid w:val="0"/>
        <w:spacing w:before="120" w:after="120" w:line="300" w:lineRule="auto"/>
        <w:jc w:val="center"/>
        <w:rPr>
          <w:rFonts w:ascii="宋体" w:hAnsi="宋体" w:cs="宋体"/>
          <w:b/>
          <w:bCs/>
          <w:sz w:val="30"/>
          <w:szCs w:val="30"/>
        </w:rPr>
        <w:sectPr>
          <w:pgSz w:w="11906" w:h="16838"/>
          <w:pgMar w:top="1134" w:right="1134" w:bottom="1134" w:left="1134" w:header="851" w:footer="992" w:gutter="0"/>
          <w:cols w:space="720" w:num="1"/>
          <w:docGrid w:linePitch="312" w:charSpace="0"/>
        </w:sectPr>
      </w:pPr>
    </w:p>
    <w:p>
      <w:pPr>
        <w:snapToGrid w:val="0"/>
        <w:spacing w:before="120" w:after="120" w:line="300" w:lineRule="auto"/>
        <w:jc w:val="center"/>
        <w:rPr>
          <w:rFonts w:ascii="楷体_GB2312" w:eastAsia="楷体_GB2312"/>
          <w:b/>
          <w:bCs/>
          <w:sz w:val="30"/>
          <w:szCs w:val="30"/>
        </w:rPr>
      </w:pPr>
      <w:r>
        <w:rPr>
          <w:rFonts w:hint="eastAsia" w:ascii="楷体_GB2312" w:hAnsi="宋体" w:eastAsia="楷体_GB2312" w:cs="宋体"/>
          <w:b/>
          <w:bCs/>
          <w:sz w:val="30"/>
          <w:szCs w:val="30"/>
        </w:rPr>
        <w:t>第七章  详细报价单 （格式</w:t>
      </w:r>
      <w:r>
        <w:rPr>
          <w:rFonts w:hint="eastAsia" w:ascii="楷体_GB2312" w:eastAsia="楷体_GB2312"/>
          <w:b/>
          <w:bCs/>
          <w:sz w:val="30"/>
          <w:szCs w:val="30"/>
        </w:rPr>
        <w:t>）</w:t>
      </w:r>
    </w:p>
    <w:p>
      <w:pPr>
        <w:jc w:val="center"/>
        <w:rPr>
          <w:rFonts w:ascii="楷体_GB2312" w:eastAsia="楷体_GB2312"/>
          <w:b/>
          <w:bCs/>
          <w:szCs w:val="21"/>
        </w:rPr>
      </w:pPr>
      <w:r>
        <w:rPr>
          <w:rFonts w:hint="eastAsia" w:ascii="楷体_GB2312" w:eastAsia="楷体_GB2312"/>
          <w:b/>
          <w:bCs/>
          <w:szCs w:val="21"/>
        </w:rPr>
        <w:t>详见第五章采购清单格式</w:t>
      </w:r>
    </w:p>
    <w:p>
      <w:pPr>
        <w:spacing w:line="360" w:lineRule="auto"/>
        <w:rPr>
          <w:rFonts w:ascii="楷体_GB2312" w:hAnsi="楷体" w:eastAsia="楷体_GB2312"/>
          <w:sz w:val="24"/>
        </w:rPr>
      </w:pPr>
    </w:p>
    <w:p>
      <w:pPr>
        <w:spacing w:line="360" w:lineRule="auto"/>
        <w:ind w:right="848" w:rightChars="404" w:firstLine="480" w:firstLineChars="200"/>
        <w:rPr>
          <w:rFonts w:ascii="楷体_GB2312" w:hAnsi="楷体" w:eastAsia="楷体_GB2312"/>
          <w:sz w:val="24"/>
        </w:rPr>
      </w:pPr>
    </w:p>
    <w:p>
      <w:pPr>
        <w:ind w:right="504"/>
        <w:jc w:val="center"/>
        <w:rPr>
          <w:rFonts w:ascii="楷体_GB2312" w:eastAsia="楷体_GB2312" w:cs="宋体"/>
          <w:kern w:val="0"/>
          <w:szCs w:val="21"/>
        </w:rPr>
      </w:pPr>
    </w:p>
    <w:p>
      <w:pPr>
        <w:spacing w:line="360" w:lineRule="auto"/>
        <w:ind w:right="505"/>
        <w:jc w:val="center"/>
        <w:rPr>
          <w:rFonts w:ascii="楷体_GB2312" w:eastAsia="楷体_GB2312" w:cs="宋体"/>
          <w:kern w:val="0"/>
          <w:sz w:val="28"/>
          <w:szCs w:val="28"/>
        </w:rPr>
      </w:pPr>
    </w:p>
    <w:p>
      <w:pPr>
        <w:spacing w:line="360" w:lineRule="auto"/>
        <w:ind w:right="505"/>
        <w:jc w:val="center"/>
        <w:rPr>
          <w:rFonts w:ascii="楷体_GB2312" w:eastAsia="楷体_GB2312" w:cs="宋体"/>
          <w:kern w:val="0"/>
          <w:sz w:val="28"/>
          <w:szCs w:val="28"/>
        </w:rPr>
      </w:pPr>
    </w:p>
    <w:p>
      <w:pPr>
        <w:rPr>
          <w:rFonts w:ascii="楷体_GB2312" w:hAnsi="宋体" w:eastAsia="楷体_GB2312"/>
          <w:b/>
          <w:bCs/>
          <w:sz w:val="24"/>
        </w:rPr>
      </w:pPr>
    </w:p>
    <w:sectPr>
      <w:pgSz w:w="16838" w:h="11906" w:orient="landscape"/>
      <w:pgMar w:top="1134" w:right="1134" w:bottom="1134" w:left="1134"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
    <w:altName w:val="Times New Roman"/>
    <w:panose1 w:val="00000000000000000000"/>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fldChar w:fldCharType="begin"/>
    </w:r>
    <w:r>
      <w:rPr>
        <w:rStyle w:val="21"/>
      </w:rPr>
      <w:instrText xml:space="preserve">PAGE  </w:instrText>
    </w:r>
    <w:r>
      <w:fldChar w:fldCharType="separate"/>
    </w:r>
    <w:r>
      <w:rPr>
        <w:rStyle w:val="21"/>
      </w:rPr>
      <w:t>62</w:t>
    </w:r>
    <w:r>
      <w:fldChar w:fldCharType="end"/>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30F6C3"/>
    <w:multiLevelType w:val="singleLevel"/>
    <w:tmpl w:val="9830F6C3"/>
    <w:lvl w:ilvl="0" w:tentative="0">
      <w:start w:val="5"/>
      <w:numFmt w:val="chineseCounting"/>
      <w:suff w:val="space"/>
      <w:lvlText w:val="第%1章"/>
      <w:lvlJc w:val="left"/>
      <w:rPr>
        <w:rFonts w:hint="eastAsia"/>
      </w:rPr>
    </w:lvl>
  </w:abstractNum>
  <w:abstractNum w:abstractNumId="1">
    <w:nsid w:val="5A1CC4AC"/>
    <w:multiLevelType w:val="singleLevel"/>
    <w:tmpl w:val="5A1CC4AC"/>
    <w:lvl w:ilvl="0" w:tentative="0">
      <w:start w:val="1"/>
      <w:numFmt w:val="decimal"/>
      <w:suff w:val="nothing"/>
      <w:lvlText w:val="（%1）"/>
      <w:lvlJc w:val="left"/>
    </w:lvl>
  </w:abstractNum>
  <w:abstractNum w:abstractNumId="2">
    <w:nsid w:val="5A264480"/>
    <w:multiLevelType w:val="singleLevel"/>
    <w:tmpl w:val="5A264480"/>
    <w:lvl w:ilvl="0" w:tentative="0">
      <w:start w:val="8"/>
      <w:numFmt w:val="chineseCounting"/>
      <w:suff w:val="nothing"/>
      <w:lvlText w:val="%1、"/>
      <w:lvlJc w:val="left"/>
    </w:lvl>
  </w:abstractNum>
  <w:abstractNum w:abstractNumId="3">
    <w:nsid w:val="77025F4D"/>
    <w:multiLevelType w:val="multilevel"/>
    <w:tmpl w:val="77025F4D"/>
    <w:lvl w:ilvl="0" w:tentative="0">
      <w:start w:val="5"/>
      <w:numFmt w:val="japaneseCounting"/>
      <w:lvlText w:val="%1、"/>
      <w:lvlJc w:val="left"/>
      <w:pPr>
        <w:ind w:left="960" w:hanging="48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00CA"/>
    <w:rsid w:val="0000247D"/>
    <w:rsid w:val="0002069F"/>
    <w:rsid w:val="00020A7D"/>
    <w:rsid w:val="00026A29"/>
    <w:rsid w:val="00036EFC"/>
    <w:rsid w:val="00041809"/>
    <w:rsid w:val="00046029"/>
    <w:rsid w:val="0005220B"/>
    <w:rsid w:val="00064D1F"/>
    <w:rsid w:val="000679A3"/>
    <w:rsid w:val="00073CB6"/>
    <w:rsid w:val="0009604C"/>
    <w:rsid w:val="00096A9D"/>
    <w:rsid w:val="00097AB5"/>
    <w:rsid w:val="000B1EB1"/>
    <w:rsid w:val="000B6E98"/>
    <w:rsid w:val="000C089D"/>
    <w:rsid w:val="000C301C"/>
    <w:rsid w:val="000C5B3F"/>
    <w:rsid w:val="000C78C5"/>
    <w:rsid w:val="000D46D5"/>
    <w:rsid w:val="000D50F1"/>
    <w:rsid w:val="000E554B"/>
    <w:rsid w:val="000F1602"/>
    <w:rsid w:val="000F4A20"/>
    <w:rsid w:val="00101144"/>
    <w:rsid w:val="001028C8"/>
    <w:rsid w:val="001046EF"/>
    <w:rsid w:val="001120D6"/>
    <w:rsid w:val="001171E0"/>
    <w:rsid w:val="00125D1C"/>
    <w:rsid w:val="0013773D"/>
    <w:rsid w:val="001379B6"/>
    <w:rsid w:val="001441C9"/>
    <w:rsid w:val="00147B38"/>
    <w:rsid w:val="00152459"/>
    <w:rsid w:val="00164196"/>
    <w:rsid w:val="00172A27"/>
    <w:rsid w:val="00181C79"/>
    <w:rsid w:val="00193148"/>
    <w:rsid w:val="001A5FC5"/>
    <w:rsid w:val="001A6AF9"/>
    <w:rsid w:val="001C42DF"/>
    <w:rsid w:val="001C639F"/>
    <w:rsid w:val="001E1708"/>
    <w:rsid w:val="001E2778"/>
    <w:rsid w:val="001F585E"/>
    <w:rsid w:val="002005CA"/>
    <w:rsid w:val="002012C7"/>
    <w:rsid w:val="00203C70"/>
    <w:rsid w:val="00210E0F"/>
    <w:rsid w:val="002116A9"/>
    <w:rsid w:val="00213D0A"/>
    <w:rsid w:val="002176AB"/>
    <w:rsid w:val="00217A91"/>
    <w:rsid w:val="00222D4E"/>
    <w:rsid w:val="00233D89"/>
    <w:rsid w:val="00235C66"/>
    <w:rsid w:val="00240348"/>
    <w:rsid w:val="00241622"/>
    <w:rsid w:val="002417C7"/>
    <w:rsid w:val="00250087"/>
    <w:rsid w:val="00252156"/>
    <w:rsid w:val="00252FF8"/>
    <w:rsid w:val="002540CF"/>
    <w:rsid w:val="00256F4A"/>
    <w:rsid w:val="00284941"/>
    <w:rsid w:val="00295F50"/>
    <w:rsid w:val="002B777A"/>
    <w:rsid w:val="002C21EB"/>
    <w:rsid w:val="002D051F"/>
    <w:rsid w:val="002D24A6"/>
    <w:rsid w:val="002D4719"/>
    <w:rsid w:val="002D520D"/>
    <w:rsid w:val="002E3F9D"/>
    <w:rsid w:val="002F6125"/>
    <w:rsid w:val="00301C0B"/>
    <w:rsid w:val="00302648"/>
    <w:rsid w:val="00313CA6"/>
    <w:rsid w:val="003154AE"/>
    <w:rsid w:val="00332854"/>
    <w:rsid w:val="003443E0"/>
    <w:rsid w:val="00344B10"/>
    <w:rsid w:val="003470C8"/>
    <w:rsid w:val="003617E6"/>
    <w:rsid w:val="00366B79"/>
    <w:rsid w:val="00383888"/>
    <w:rsid w:val="003B4436"/>
    <w:rsid w:val="003C08FB"/>
    <w:rsid w:val="003C2B4E"/>
    <w:rsid w:val="003D6607"/>
    <w:rsid w:val="003E116A"/>
    <w:rsid w:val="003E3A86"/>
    <w:rsid w:val="003F40EC"/>
    <w:rsid w:val="00425A1F"/>
    <w:rsid w:val="00426818"/>
    <w:rsid w:val="004270A4"/>
    <w:rsid w:val="004324E7"/>
    <w:rsid w:val="004359CF"/>
    <w:rsid w:val="00444634"/>
    <w:rsid w:val="00445930"/>
    <w:rsid w:val="00445FF0"/>
    <w:rsid w:val="00450D85"/>
    <w:rsid w:val="004604D0"/>
    <w:rsid w:val="004617D5"/>
    <w:rsid w:val="004627F7"/>
    <w:rsid w:val="00462DE4"/>
    <w:rsid w:val="00466AEB"/>
    <w:rsid w:val="004670AD"/>
    <w:rsid w:val="0047270C"/>
    <w:rsid w:val="004872B2"/>
    <w:rsid w:val="00493052"/>
    <w:rsid w:val="00497333"/>
    <w:rsid w:val="004A068F"/>
    <w:rsid w:val="004A70D7"/>
    <w:rsid w:val="004C23E1"/>
    <w:rsid w:val="004C6457"/>
    <w:rsid w:val="004C7B21"/>
    <w:rsid w:val="004D7F02"/>
    <w:rsid w:val="004E0092"/>
    <w:rsid w:val="004E2D94"/>
    <w:rsid w:val="004F65F7"/>
    <w:rsid w:val="00502769"/>
    <w:rsid w:val="0050388A"/>
    <w:rsid w:val="0050612F"/>
    <w:rsid w:val="0050681A"/>
    <w:rsid w:val="005223B9"/>
    <w:rsid w:val="00524415"/>
    <w:rsid w:val="0052466F"/>
    <w:rsid w:val="00530CF4"/>
    <w:rsid w:val="00533D1E"/>
    <w:rsid w:val="005411F9"/>
    <w:rsid w:val="00547A3D"/>
    <w:rsid w:val="00552AAF"/>
    <w:rsid w:val="00555D45"/>
    <w:rsid w:val="00557033"/>
    <w:rsid w:val="00557686"/>
    <w:rsid w:val="00563A9F"/>
    <w:rsid w:val="005717A0"/>
    <w:rsid w:val="00576C65"/>
    <w:rsid w:val="00592C22"/>
    <w:rsid w:val="005A3798"/>
    <w:rsid w:val="005A399A"/>
    <w:rsid w:val="005B11D1"/>
    <w:rsid w:val="005B2A85"/>
    <w:rsid w:val="005C04B6"/>
    <w:rsid w:val="005C555B"/>
    <w:rsid w:val="005D4516"/>
    <w:rsid w:val="005D5BB8"/>
    <w:rsid w:val="005F527F"/>
    <w:rsid w:val="006027F0"/>
    <w:rsid w:val="00606B83"/>
    <w:rsid w:val="0062064E"/>
    <w:rsid w:val="0062248A"/>
    <w:rsid w:val="006266C9"/>
    <w:rsid w:val="00634795"/>
    <w:rsid w:val="0063582C"/>
    <w:rsid w:val="00636226"/>
    <w:rsid w:val="006403C0"/>
    <w:rsid w:val="0064165E"/>
    <w:rsid w:val="0064206C"/>
    <w:rsid w:val="00646FD9"/>
    <w:rsid w:val="0066309F"/>
    <w:rsid w:val="00686706"/>
    <w:rsid w:val="006918C8"/>
    <w:rsid w:val="00694265"/>
    <w:rsid w:val="00695670"/>
    <w:rsid w:val="006B3D52"/>
    <w:rsid w:val="006B51F3"/>
    <w:rsid w:val="006B610B"/>
    <w:rsid w:val="006B7775"/>
    <w:rsid w:val="006C1EAD"/>
    <w:rsid w:val="006C6B21"/>
    <w:rsid w:val="006D32FF"/>
    <w:rsid w:val="006D42B7"/>
    <w:rsid w:val="006D6412"/>
    <w:rsid w:val="006E3CE5"/>
    <w:rsid w:val="006F0BBA"/>
    <w:rsid w:val="006F56A5"/>
    <w:rsid w:val="00704754"/>
    <w:rsid w:val="00705120"/>
    <w:rsid w:val="00705340"/>
    <w:rsid w:val="0070701A"/>
    <w:rsid w:val="007166A9"/>
    <w:rsid w:val="007516E2"/>
    <w:rsid w:val="00752B51"/>
    <w:rsid w:val="00754758"/>
    <w:rsid w:val="00760C4A"/>
    <w:rsid w:val="00760EBA"/>
    <w:rsid w:val="007655A0"/>
    <w:rsid w:val="00772FFE"/>
    <w:rsid w:val="007872E8"/>
    <w:rsid w:val="00791187"/>
    <w:rsid w:val="00793621"/>
    <w:rsid w:val="00796A2E"/>
    <w:rsid w:val="0079774A"/>
    <w:rsid w:val="007B529D"/>
    <w:rsid w:val="007D5143"/>
    <w:rsid w:val="007F1005"/>
    <w:rsid w:val="007F1AFC"/>
    <w:rsid w:val="007F42A8"/>
    <w:rsid w:val="007F789F"/>
    <w:rsid w:val="0080068E"/>
    <w:rsid w:val="0080388E"/>
    <w:rsid w:val="00812814"/>
    <w:rsid w:val="00812A14"/>
    <w:rsid w:val="00853B8D"/>
    <w:rsid w:val="00860893"/>
    <w:rsid w:val="0087628D"/>
    <w:rsid w:val="00877D4B"/>
    <w:rsid w:val="00886F04"/>
    <w:rsid w:val="00887D6E"/>
    <w:rsid w:val="00891E32"/>
    <w:rsid w:val="008A2A71"/>
    <w:rsid w:val="008A63FC"/>
    <w:rsid w:val="008B487B"/>
    <w:rsid w:val="008B638F"/>
    <w:rsid w:val="008C41DF"/>
    <w:rsid w:val="008C7197"/>
    <w:rsid w:val="008E305B"/>
    <w:rsid w:val="008F1710"/>
    <w:rsid w:val="008F2755"/>
    <w:rsid w:val="00901D2D"/>
    <w:rsid w:val="009171AE"/>
    <w:rsid w:val="009224AC"/>
    <w:rsid w:val="00952E2C"/>
    <w:rsid w:val="00954FEF"/>
    <w:rsid w:val="00962638"/>
    <w:rsid w:val="009638FC"/>
    <w:rsid w:val="00971A7E"/>
    <w:rsid w:val="0098720B"/>
    <w:rsid w:val="00987241"/>
    <w:rsid w:val="009A113B"/>
    <w:rsid w:val="009A60C5"/>
    <w:rsid w:val="009B1689"/>
    <w:rsid w:val="009B5E2C"/>
    <w:rsid w:val="009B65EA"/>
    <w:rsid w:val="009C3854"/>
    <w:rsid w:val="009F0885"/>
    <w:rsid w:val="00A003C1"/>
    <w:rsid w:val="00A01288"/>
    <w:rsid w:val="00A0350F"/>
    <w:rsid w:val="00A1362A"/>
    <w:rsid w:val="00A1401E"/>
    <w:rsid w:val="00A16818"/>
    <w:rsid w:val="00A37F67"/>
    <w:rsid w:val="00A45C09"/>
    <w:rsid w:val="00A47A17"/>
    <w:rsid w:val="00A64D11"/>
    <w:rsid w:val="00A76216"/>
    <w:rsid w:val="00A77364"/>
    <w:rsid w:val="00A840A3"/>
    <w:rsid w:val="00A917BD"/>
    <w:rsid w:val="00A97A57"/>
    <w:rsid w:val="00A97AD2"/>
    <w:rsid w:val="00AB0AE6"/>
    <w:rsid w:val="00AB1002"/>
    <w:rsid w:val="00AB4F13"/>
    <w:rsid w:val="00AE5B11"/>
    <w:rsid w:val="00AE7C5D"/>
    <w:rsid w:val="00AF516A"/>
    <w:rsid w:val="00AF5528"/>
    <w:rsid w:val="00B3070D"/>
    <w:rsid w:val="00B3503D"/>
    <w:rsid w:val="00B35C80"/>
    <w:rsid w:val="00B36E0D"/>
    <w:rsid w:val="00B41368"/>
    <w:rsid w:val="00B45CC5"/>
    <w:rsid w:val="00B52E1D"/>
    <w:rsid w:val="00B61F9F"/>
    <w:rsid w:val="00B70E0A"/>
    <w:rsid w:val="00B823A0"/>
    <w:rsid w:val="00B83B4D"/>
    <w:rsid w:val="00BA033B"/>
    <w:rsid w:val="00BA6C59"/>
    <w:rsid w:val="00BC1A25"/>
    <w:rsid w:val="00BC2150"/>
    <w:rsid w:val="00BC4FED"/>
    <w:rsid w:val="00BC63C4"/>
    <w:rsid w:val="00BD192A"/>
    <w:rsid w:val="00BD68C1"/>
    <w:rsid w:val="00BD7B09"/>
    <w:rsid w:val="00BE1867"/>
    <w:rsid w:val="00BE6789"/>
    <w:rsid w:val="00BF0341"/>
    <w:rsid w:val="00BF58E4"/>
    <w:rsid w:val="00BF7157"/>
    <w:rsid w:val="00C07AE5"/>
    <w:rsid w:val="00C11161"/>
    <w:rsid w:val="00C13FA9"/>
    <w:rsid w:val="00C21ECE"/>
    <w:rsid w:val="00C22419"/>
    <w:rsid w:val="00C42331"/>
    <w:rsid w:val="00C466EB"/>
    <w:rsid w:val="00C53E45"/>
    <w:rsid w:val="00C55DEB"/>
    <w:rsid w:val="00C647CF"/>
    <w:rsid w:val="00C655C4"/>
    <w:rsid w:val="00C66213"/>
    <w:rsid w:val="00C71419"/>
    <w:rsid w:val="00C73496"/>
    <w:rsid w:val="00C77568"/>
    <w:rsid w:val="00CA2CA2"/>
    <w:rsid w:val="00CB6D6E"/>
    <w:rsid w:val="00CC380C"/>
    <w:rsid w:val="00CD1BE3"/>
    <w:rsid w:val="00CD543F"/>
    <w:rsid w:val="00CE15D4"/>
    <w:rsid w:val="00CE40F6"/>
    <w:rsid w:val="00CE66C0"/>
    <w:rsid w:val="00CF2BCA"/>
    <w:rsid w:val="00CF301D"/>
    <w:rsid w:val="00D0671A"/>
    <w:rsid w:val="00D17832"/>
    <w:rsid w:val="00D207E2"/>
    <w:rsid w:val="00D30D0C"/>
    <w:rsid w:val="00D310A0"/>
    <w:rsid w:val="00D31586"/>
    <w:rsid w:val="00D33653"/>
    <w:rsid w:val="00D33AC4"/>
    <w:rsid w:val="00D36060"/>
    <w:rsid w:val="00D37149"/>
    <w:rsid w:val="00D401B6"/>
    <w:rsid w:val="00D47136"/>
    <w:rsid w:val="00D52A10"/>
    <w:rsid w:val="00D54E9C"/>
    <w:rsid w:val="00D575A8"/>
    <w:rsid w:val="00D62834"/>
    <w:rsid w:val="00D64A46"/>
    <w:rsid w:val="00D811F8"/>
    <w:rsid w:val="00D85D84"/>
    <w:rsid w:val="00D919C7"/>
    <w:rsid w:val="00D931DC"/>
    <w:rsid w:val="00DA5792"/>
    <w:rsid w:val="00DB182C"/>
    <w:rsid w:val="00DB370C"/>
    <w:rsid w:val="00DB7B96"/>
    <w:rsid w:val="00DC37CD"/>
    <w:rsid w:val="00DC4E4B"/>
    <w:rsid w:val="00DD24B1"/>
    <w:rsid w:val="00DD2AB7"/>
    <w:rsid w:val="00DD359D"/>
    <w:rsid w:val="00DD49A3"/>
    <w:rsid w:val="00DD648E"/>
    <w:rsid w:val="00DD68A6"/>
    <w:rsid w:val="00DE5904"/>
    <w:rsid w:val="00DE6A19"/>
    <w:rsid w:val="00DF302E"/>
    <w:rsid w:val="00DF5B9B"/>
    <w:rsid w:val="00E07F35"/>
    <w:rsid w:val="00E10777"/>
    <w:rsid w:val="00E22431"/>
    <w:rsid w:val="00E3162E"/>
    <w:rsid w:val="00E36B54"/>
    <w:rsid w:val="00E36F88"/>
    <w:rsid w:val="00E54FA3"/>
    <w:rsid w:val="00E56C4D"/>
    <w:rsid w:val="00E7744C"/>
    <w:rsid w:val="00E83636"/>
    <w:rsid w:val="00E853BA"/>
    <w:rsid w:val="00EA0700"/>
    <w:rsid w:val="00EA503E"/>
    <w:rsid w:val="00EA630D"/>
    <w:rsid w:val="00EA7ED5"/>
    <w:rsid w:val="00EB2AD5"/>
    <w:rsid w:val="00EB6C8A"/>
    <w:rsid w:val="00EC7A47"/>
    <w:rsid w:val="00EE4F3B"/>
    <w:rsid w:val="00EE5BB9"/>
    <w:rsid w:val="00EE7539"/>
    <w:rsid w:val="00EF070A"/>
    <w:rsid w:val="00EF2DE8"/>
    <w:rsid w:val="00EF2DF0"/>
    <w:rsid w:val="00F04762"/>
    <w:rsid w:val="00F06CBD"/>
    <w:rsid w:val="00F10AB5"/>
    <w:rsid w:val="00F1726C"/>
    <w:rsid w:val="00F2503C"/>
    <w:rsid w:val="00F2648C"/>
    <w:rsid w:val="00F340F7"/>
    <w:rsid w:val="00F355BF"/>
    <w:rsid w:val="00F37A11"/>
    <w:rsid w:val="00F430C5"/>
    <w:rsid w:val="00F53C4C"/>
    <w:rsid w:val="00F61B35"/>
    <w:rsid w:val="00F62A40"/>
    <w:rsid w:val="00F71D94"/>
    <w:rsid w:val="00F83CB7"/>
    <w:rsid w:val="00FA2839"/>
    <w:rsid w:val="00FB302E"/>
    <w:rsid w:val="00FC371A"/>
    <w:rsid w:val="00FE26DB"/>
    <w:rsid w:val="00FF7C79"/>
    <w:rsid w:val="0123016A"/>
    <w:rsid w:val="01256EF0"/>
    <w:rsid w:val="012A5C8E"/>
    <w:rsid w:val="013F4860"/>
    <w:rsid w:val="01B447A9"/>
    <w:rsid w:val="02485D4E"/>
    <w:rsid w:val="027035BE"/>
    <w:rsid w:val="02DF1744"/>
    <w:rsid w:val="02F22491"/>
    <w:rsid w:val="02F92EC5"/>
    <w:rsid w:val="031B3B28"/>
    <w:rsid w:val="036A1124"/>
    <w:rsid w:val="041C7BEE"/>
    <w:rsid w:val="048552F8"/>
    <w:rsid w:val="04C560E2"/>
    <w:rsid w:val="04D400D6"/>
    <w:rsid w:val="05627265"/>
    <w:rsid w:val="0576076C"/>
    <w:rsid w:val="05785B85"/>
    <w:rsid w:val="05BD0878"/>
    <w:rsid w:val="065A3F7A"/>
    <w:rsid w:val="068D4895"/>
    <w:rsid w:val="06B93F93"/>
    <w:rsid w:val="0708602B"/>
    <w:rsid w:val="0756099A"/>
    <w:rsid w:val="0758224C"/>
    <w:rsid w:val="075D5542"/>
    <w:rsid w:val="07B03C50"/>
    <w:rsid w:val="07D131C0"/>
    <w:rsid w:val="082379C5"/>
    <w:rsid w:val="084A6CA8"/>
    <w:rsid w:val="085E7FCA"/>
    <w:rsid w:val="089C088F"/>
    <w:rsid w:val="08A30AB0"/>
    <w:rsid w:val="08C76272"/>
    <w:rsid w:val="08CD2DC4"/>
    <w:rsid w:val="091153EC"/>
    <w:rsid w:val="09272E13"/>
    <w:rsid w:val="09AF3FF1"/>
    <w:rsid w:val="09B65C2C"/>
    <w:rsid w:val="0A1827F6"/>
    <w:rsid w:val="0A60672C"/>
    <w:rsid w:val="0A952FEA"/>
    <w:rsid w:val="0AB944A3"/>
    <w:rsid w:val="0ACA053F"/>
    <w:rsid w:val="0AF11B92"/>
    <w:rsid w:val="0B1161B7"/>
    <w:rsid w:val="0B4B10A0"/>
    <w:rsid w:val="0BF254A5"/>
    <w:rsid w:val="0C565560"/>
    <w:rsid w:val="0C9153AE"/>
    <w:rsid w:val="0D0034B9"/>
    <w:rsid w:val="0DC9572A"/>
    <w:rsid w:val="0DEA4B7F"/>
    <w:rsid w:val="0E66679E"/>
    <w:rsid w:val="0E851F56"/>
    <w:rsid w:val="0E9F728B"/>
    <w:rsid w:val="0ED618B4"/>
    <w:rsid w:val="0FE80928"/>
    <w:rsid w:val="10005FCF"/>
    <w:rsid w:val="10725009"/>
    <w:rsid w:val="10ED7D57"/>
    <w:rsid w:val="115E0546"/>
    <w:rsid w:val="11900551"/>
    <w:rsid w:val="119D28A9"/>
    <w:rsid w:val="11B13797"/>
    <w:rsid w:val="11C73196"/>
    <w:rsid w:val="11C7593B"/>
    <w:rsid w:val="11DF40D4"/>
    <w:rsid w:val="11E73BEA"/>
    <w:rsid w:val="12AE6B32"/>
    <w:rsid w:val="12B10B7D"/>
    <w:rsid w:val="13B424C6"/>
    <w:rsid w:val="13D317CE"/>
    <w:rsid w:val="14494355"/>
    <w:rsid w:val="14763F1F"/>
    <w:rsid w:val="14E51576"/>
    <w:rsid w:val="152B338F"/>
    <w:rsid w:val="15E93B9A"/>
    <w:rsid w:val="16460917"/>
    <w:rsid w:val="16614231"/>
    <w:rsid w:val="169702B5"/>
    <w:rsid w:val="16984F8B"/>
    <w:rsid w:val="16F41D35"/>
    <w:rsid w:val="16FD286E"/>
    <w:rsid w:val="16FF000E"/>
    <w:rsid w:val="184E0CEC"/>
    <w:rsid w:val="188A26D6"/>
    <w:rsid w:val="18E50DF8"/>
    <w:rsid w:val="195B7AEA"/>
    <w:rsid w:val="1983661F"/>
    <w:rsid w:val="19D368EA"/>
    <w:rsid w:val="1A48432A"/>
    <w:rsid w:val="1AB25F58"/>
    <w:rsid w:val="1ABE7D11"/>
    <w:rsid w:val="1B664B02"/>
    <w:rsid w:val="1B672584"/>
    <w:rsid w:val="1B877235"/>
    <w:rsid w:val="1B8F7683"/>
    <w:rsid w:val="1BEC025E"/>
    <w:rsid w:val="1C104F9B"/>
    <w:rsid w:val="1C88351E"/>
    <w:rsid w:val="1CE21A70"/>
    <w:rsid w:val="1D1D570C"/>
    <w:rsid w:val="1D61499C"/>
    <w:rsid w:val="1DB13E69"/>
    <w:rsid w:val="1DCA6137"/>
    <w:rsid w:val="1DDA4206"/>
    <w:rsid w:val="1E6F6CA9"/>
    <w:rsid w:val="1EA57152"/>
    <w:rsid w:val="1ED94129"/>
    <w:rsid w:val="1F5D57A4"/>
    <w:rsid w:val="1FD24341"/>
    <w:rsid w:val="200B14B4"/>
    <w:rsid w:val="204A2B37"/>
    <w:rsid w:val="205E77A8"/>
    <w:rsid w:val="20A47BD4"/>
    <w:rsid w:val="20D505A8"/>
    <w:rsid w:val="20F426A5"/>
    <w:rsid w:val="21B8655A"/>
    <w:rsid w:val="21D3730A"/>
    <w:rsid w:val="22135B75"/>
    <w:rsid w:val="22307B79"/>
    <w:rsid w:val="224805CD"/>
    <w:rsid w:val="23827050"/>
    <w:rsid w:val="238B1EDE"/>
    <w:rsid w:val="242001D4"/>
    <w:rsid w:val="242755E0"/>
    <w:rsid w:val="243F1B2E"/>
    <w:rsid w:val="25133BD0"/>
    <w:rsid w:val="25B34D67"/>
    <w:rsid w:val="26B53690"/>
    <w:rsid w:val="26FF6F87"/>
    <w:rsid w:val="27281910"/>
    <w:rsid w:val="280213AD"/>
    <w:rsid w:val="28E2704F"/>
    <w:rsid w:val="2A0255F2"/>
    <w:rsid w:val="2A3E73D9"/>
    <w:rsid w:val="2A4C79F4"/>
    <w:rsid w:val="2A8E3CE0"/>
    <w:rsid w:val="2AA30402"/>
    <w:rsid w:val="2ABE033C"/>
    <w:rsid w:val="2AD71B56"/>
    <w:rsid w:val="2AD86E87"/>
    <w:rsid w:val="2B681445"/>
    <w:rsid w:val="2B9B5117"/>
    <w:rsid w:val="2C393D1C"/>
    <w:rsid w:val="2C3C0117"/>
    <w:rsid w:val="2C416BAA"/>
    <w:rsid w:val="2CEF6A91"/>
    <w:rsid w:val="2D4B72A9"/>
    <w:rsid w:val="2D721258"/>
    <w:rsid w:val="2E027122"/>
    <w:rsid w:val="2E151FA8"/>
    <w:rsid w:val="2ED94971"/>
    <w:rsid w:val="2EF6291B"/>
    <w:rsid w:val="2EFE1F25"/>
    <w:rsid w:val="2F2B7678"/>
    <w:rsid w:val="2F45269A"/>
    <w:rsid w:val="2F750C6B"/>
    <w:rsid w:val="2FA2403F"/>
    <w:rsid w:val="3027085A"/>
    <w:rsid w:val="30411F1D"/>
    <w:rsid w:val="30916662"/>
    <w:rsid w:val="30A60579"/>
    <w:rsid w:val="30C60B2F"/>
    <w:rsid w:val="30EC7553"/>
    <w:rsid w:val="31094DD9"/>
    <w:rsid w:val="310C2068"/>
    <w:rsid w:val="311C22A0"/>
    <w:rsid w:val="31455663"/>
    <w:rsid w:val="317177AC"/>
    <w:rsid w:val="31A0121E"/>
    <w:rsid w:val="329F241C"/>
    <w:rsid w:val="32A50AA2"/>
    <w:rsid w:val="32F46A8A"/>
    <w:rsid w:val="333D1021"/>
    <w:rsid w:val="33C4477D"/>
    <w:rsid w:val="33D77494"/>
    <w:rsid w:val="34D00132"/>
    <w:rsid w:val="34F01B62"/>
    <w:rsid w:val="354F1D05"/>
    <w:rsid w:val="356B6978"/>
    <w:rsid w:val="369B06A2"/>
    <w:rsid w:val="36E90263"/>
    <w:rsid w:val="36FD3DF6"/>
    <w:rsid w:val="373D1531"/>
    <w:rsid w:val="37A7360B"/>
    <w:rsid w:val="37BA68FC"/>
    <w:rsid w:val="37D40B0E"/>
    <w:rsid w:val="384A2968"/>
    <w:rsid w:val="38575635"/>
    <w:rsid w:val="38667036"/>
    <w:rsid w:val="387821B2"/>
    <w:rsid w:val="388A594F"/>
    <w:rsid w:val="38D711BA"/>
    <w:rsid w:val="39191D3B"/>
    <w:rsid w:val="39901CD3"/>
    <w:rsid w:val="3A1132E4"/>
    <w:rsid w:val="3A163B04"/>
    <w:rsid w:val="3A1918DE"/>
    <w:rsid w:val="3A301503"/>
    <w:rsid w:val="3A33517C"/>
    <w:rsid w:val="3A3711D7"/>
    <w:rsid w:val="3AA03774"/>
    <w:rsid w:val="3B5073DC"/>
    <w:rsid w:val="3BA316DE"/>
    <w:rsid w:val="3BBE5AD4"/>
    <w:rsid w:val="3BD11183"/>
    <w:rsid w:val="3C111A19"/>
    <w:rsid w:val="3C5F2E1D"/>
    <w:rsid w:val="3C7A1448"/>
    <w:rsid w:val="3D2924E6"/>
    <w:rsid w:val="3D453DDD"/>
    <w:rsid w:val="3D5D536D"/>
    <w:rsid w:val="3D66234A"/>
    <w:rsid w:val="3D667060"/>
    <w:rsid w:val="3E317495"/>
    <w:rsid w:val="3E3A5BA6"/>
    <w:rsid w:val="3E5D15DE"/>
    <w:rsid w:val="3E7C1E93"/>
    <w:rsid w:val="3E83181D"/>
    <w:rsid w:val="3EC03881"/>
    <w:rsid w:val="3EF21AD1"/>
    <w:rsid w:val="3F44019B"/>
    <w:rsid w:val="3F6B5F18"/>
    <w:rsid w:val="3FBD5D22"/>
    <w:rsid w:val="3FC41E29"/>
    <w:rsid w:val="3FD80B65"/>
    <w:rsid w:val="3FEC0DF0"/>
    <w:rsid w:val="408A5FF6"/>
    <w:rsid w:val="40D12367"/>
    <w:rsid w:val="40E04B80"/>
    <w:rsid w:val="41010DC9"/>
    <w:rsid w:val="410A276A"/>
    <w:rsid w:val="41117C34"/>
    <w:rsid w:val="413E3A25"/>
    <w:rsid w:val="41B0085C"/>
    <w:rsid w:val="421F4207"/>
    <w:rsid w:val="424B3DD2"/>
    <w:rsid w:val="42C129EB"/>
    <w:rsid w:val="440247EB"/>
    <w:rsid w:val="44314616"/>
    <w:rsid w:val="44FC2E70"/>
    <w:rsid w:val="45C93926"/>
    <w:rsid w:val="45CA79B5"/>
    <w:rsid w:val="46F721FC"/>
    <w:rsid w:val="485E3619"/>
    <w:rsid w:val="48690DD9"/>
    <w:rsid w:val="489509A3"/>
    <w:rsid w:val="489C032E"/>
    <w:rsid w:val="48CB0E7D"/>
    <w:rsid w:val="499A122E"/>
    <w:rsid w:val="49D00156"/>
    <w:rsid w:val="4A152119"/>
    <w:rsid w:val="4A574284"/>
    <w:rsid w:val="4A7F5A40"/>
    <w:rsid w:val="4AEB0E78"/>
    <w:rsid w:val="4BFA3233"/>
    <w:rsid w:val="4C1D1801"/>
    <w:rsid w:val="4C5D07BC"/>
    <w:rsid w:val="4C6B47EC"/>
    <w:rsid w:val="4CBF4276"/>
    <w:rsid w:val="4CE4605B"/>
    <w:rsid w:val="4D357B97"/>
    <w:rsid w:val="4D6B5D7C"/>
    <w:rsid w:val="4D6D3A14"/>
    <w:rsid w:val="4D770131"/>
    <w:rsid w:val="4DB96D7A"/>
    <w:rsid w:val="4E714F41"/>
    <w:rsid w:val="4E742EB9"/>
    <w:rsid w:val="4E940979"/>
    <w:rsid w:val="4F12358A"/>
    <w:rsid w:val="4F795FDA"/>
    <w:rsid w:val="4FD10381"/>
    <w:rsid w:val="50062DD9"/>
    <w:rsid w:val="501C4F7D"/>
    <w:rsid w:val="503500A5"/>
    <w:rsid w:val="506D01FF"/>
    <w:rsid w:val="50FD21C4"/>
    <w:rsid w:val="51415272"/>
    <w:rsid w:val="515E2226"/>
    <w:rsid w:val="516E10A7"/>
    <w:rsid w:val="52147F47"/>
    <w:rsid w:val="522D4286"/>
    <w:rsid w:val="52347F58"/>
    <w:rsid w:val="52430D0E"/>
    <w:rsid w:val="524422E6"/>
    <w:rsid w:val="52553923"/>
    <w:rsid w:val="531A53E1"/>
    <w:rsid w:val="53CC4409"/>
    <w:rsid w:val="53E311BB"/>
    <w:rsid w:val="53FC4FE4"/>
    <w:rsid w:val="5467640A"/>
    <w:rsid w:val="548B5741"/>
    <w:rsid w:val="548C042E"/>
    <w:rsid w:val="54A3078A"/>
    <w:rsid w:val="54D5783E"/>
    <w:rsid w:val="5526593F"/>
    <w:rsid w:val="552753B9"/>
    <w:rsid w:val="55292147"/>
    <w:rsid w:val="55583B90"/>
    <w:rsid w:val="555B0397"/>
    <w:rsid w:val="5572349D"/>
    <w:rsid w:val="55AE23A0"/>
    <w:rsid w:val="55E63731"/>
    <w:rsid w:val="55EC5708"/>
    <w:rsid w:val="55FA7559"/>
    <w:rsid w:val="561403CA"/>
    <w:rsid w:val="562860BF"/>
    <w:rsid w:val="5683587B"/>
    <w:rsid w:val="572E335B"/>
    <w:rsid w:val="57335A1F"/>
    <w:rsid w:val="578754A9"/>
    <w:rsid w:val="57AA30DF"/>
    <w:rsid w:val="57B317F1"/>
    <w:rsid w:val="57FD50E8"/>
    <w:rsid w:val="580D5382"/>
    <w:rsid w:val="58540B01"/>
    <w:rsid w:val="585D2851"/>
    <w:rsid w:val="591326B2"/>
    <w:rsid w:val="597317D1"/>
    <w:rsid w:val="59AE0BF7"/>
    <w:rsid w:val="5A075F26"/>
    <w:rsid w:val="5A746DF6"/>
    <w:rsid w:val="5ADB630E"/>
    <w:rsid w:val="5AFC7FD4"/>
    <w:rsid w:val="5B5D6D73"/>
    <w:rsid w:val="5B7C4272"/>
    <w:rsid w:val="5B987E52"/>
    <w:rsid w:val="5BAF7A77"/>
    <w:rsid w:val="5C6E2434"/>
    <w:rsid w:val="5C6F7EB5"/>
    <w:rsid w:val="5CC03137"/>
    <w:rsid w:val="5CFF4487"/>
    <w:rsid w:val="5D4A7959"/>
    <w:rsid w:val="5E340A9B"/>
    <w:rsid w:val="5E4E4EC8"/>
    <w:rsid w:val="5E600504"/>
    <w:rsid w:val="5E635D67"/>
    <w:rsid w:val="5E761B71"/>
    <w:rsid w:val="5EC92BE9"/>
    <w:rsid w:val="5F5C1802"/>
    <w:rsid w:val="5FE906CB"/>
    <w:rsid w:val="60701692"/>
    <w:rsid w:val="60844AE7"/>
    <w:rsid w:val="60B64A2F"/>
    <w:rsid w:val="60F2511B"/>
    <w:rsid w:val="61155B43"/>
    <w:rsid w:val="61B0151C"/>
    <w:rsid w:val="61F017BB"/>
    <w:rsid w:val="621870FC"/>
    <w:rsid w:val="625F188F"/>
    <w:rsid w:val="628614F2"/>
    <w:rsid w:val="629B1C54"/>
    <w:rsid w:val="62A54CF7"/>
    <w:rsid w:val="62B54419"/>
    <w:rsid w:val="63222E31"/>
    <w:rsid w:val="635262CC"/>
    <w:rsid w:val="63A26C03"/>
    <w:rsid w:val="63DF4869"/>
    <w:rsid w:val="63F80B63"/>
    <w:rsid w:val="64F43705"/>
    <w:rsid w:val="651C4271"/>
    <w:rsid w:val="657A7175"/>
    <w:rsid w:val="660D37F9"/>
    <w:rsid w:val="66213346"/>
    <w:rsid w:val="664A0C52"/>
    <w:rsid w:val="667F2833"/>
    <w:rsid w:val="670C119E"/>
    <w:rsid w:val="67205C40"/>
    <w:rsid w:val="67223341"/>
    <w:rsid w:val="676F0845"/>
    <w:rsid w:val="67BD6DDF"/>
    <w:rsid w:val="67C43BB8"/>
    <w:rsid w:val="67E11362"/>
    <w:rsid w:val="67FC4329"/>
    <w:rsid w:val="68534D38"/>
    <w:rsid w:val="68576D37"/>
    <w:rsid w:val="6985092D"/>
    <w:rsid w:val="69D803B7"/>
    <w:rsid w:val="69EE62B2"/>
    <w:rsid w:val="6A071E00"/>
    <w:rsid w:val="6A70733B"/>
    <w:rsid w:val="6AC647BD"/>
    <w:rsid w:val="6B5B4CB0"/>
    <w:rsid w:val="6B62243D"/>
    <w:rsid w:val="6BA73AAA"/>
    <w:rsid w:val="6BDF08DF"/>
    <w:rsid w:val="6C631B48"/>
    <w:rsid w:val="6CD31019"/>
    <w:rsid w:val="6D802771"/>
    <w:rsid w:val="6D84361F"/>
    <w:rsid w:val="6D870DF2"/>
    <w:rsid w:val="6DCC5196"/>
    <w:rsid w:val="6E112C1F"/>
    <w:rsid w:val="6E6A45B3"/>
    <w:rsid w:val="6E917105"/>
    <w:rsid w:val="6EB3022A"/>
    <w:rsid w:val="6ED81683"/>
    <w:rsid w:val="6EFA6420"/>
    <w:rsid w:val="6F19434C"/>
    <w:rsid w:val="6F792572"/>
    <w:rsid w:val="6F95081D"/>
    <w:rsid w:val="6FBA2FDB"/>
    <w:rsid w:val="7038712D"/>
    <w:rsid w:val="70572DC9"/>
    <w:rsid w:val="711C4693"/>
    <w:rsid w:val="71286A91"/>
    <w:rsid w:val="71AC6F10"/>
    <w:rsid w:val="72465B88"/>
    <w:rsid w:val="728C62FC"/>
    <w:rsid w:val="73403821"/>
    <w:rsid w:val="73511D15"/>
    <w:rsid w:val="73BD72A3"/>
    <w:rsid w:val="74B447B6"/>
    <w:rsid w:val="74C82EA0"/>
    <w:rsid w:val="750B1B93"/>
    <w:rsid w:val="757E0792"/>
    <w:rsid w:val="75CE6EC2"/>
    <w:rsid w:val="75D62561"/>
    <w:rsid w:val="75F9181C"/>
    <w:rsid w:val="76282D14"/>
    <w:rsid w:val="76645648"/>
    <w:rsid w:val="766734E2"/>
    <w:rsid w:val="768A5887"/>
    <w:rsid w:val="76923F99"/>
    <w:rsid w:val="76E44C9C"/>
    <w:rsid w:val="76F913BE"/>
    <w:rsid w:val="77737B48"/>
    <w:rsid w:val="789E3793"/>
    <w:rsid w:val="78BC2324"/>
    <w:rsid w:val="793379E4"/>
    <w:rsid w:val="795E792F"/>
    <w:rsid w:val="79A757A5"/>
    <w:rsid w:val="7A1B3F20"/>
    <w:rsid w:val="7A227047"/>
    <w:rsid w:val="7A461E2B"/>
    <w:rsid w:val="7A4F7CDF"/>
    <w:rsid w:val="7B2D68A5"/>
    <w:rsid w:val="7BCE642F"/>
    <w:rsid w:val="7BF165E3"/>
    <w:rsid w:val="7C035604"/>
    <w:rsid w:val="7C166823"/>
    <w:rsid w:val="7D1B2E2E"/>
    <w:rsid w:val="7DB00B43"/>
    <w:rsid w:val="7DBB2757"/>
    <w:rsid w:val="7DFC793D"/>
    <w:rsid w:val="7DFF4145"/>
    <w:rsid w:val="7E132DE5"/>
    <w:rsid w:val="7E2E21A7"/>
    <w:rsid w:val="7E2E4C94"/>
    <w:rsid w:val="7E3C755D"/>
    <w:rsid w:val="7E624F28"/>
    <w:rsid w:val="7E736682"/>
    <w:rsid w:val="7ED83E28"/>
    <w:rsid w:val="7F0204F0"/>
    <w:rsid w:val="7F743CA6"/>
    <w:rsid w:val="7FBB3236"/>
    <w:rsid w:val="7FC2022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5"/>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41"/>
    <w:qFormat/>
    <w:uiPriority w:val="0"/>
    <w:pPr>
      <w:keepNext/>
      <w:keepLines/>
      <w:spacing w:before="260" w:after="260" w:line="416" w:lineRule="auto"/>
      <w:ind w:left="840" w:hanging="420"/>
      <w:outlineLvl w:val="1"/>
    </w:pPr>
    <w:rPr>
      <w:rFonts w:ascii="Cambria" w:hAnsi="Cambria"/>
      <w:b/>
      <w:bCs/>
      <w:sz w:val="32"/>
      <w:szCs w:val="32"/>
    </w:rPr>
  </w:style>
  <w:style w:type="paragraph" w:styleId="6">
    <w:name w:val="heading 3"/>
    <w:basedOn w:val="1"/>
    <w:next w:val="1"/>
    <w:link w:val="38"/>
    <w:qFormat/>
    <w:uiPriority w:val="0"/>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adjustRightInd/>
      <w:snapToGrid/>
      <w:spacing w:after="120" w:line="240" w:lineRule="auto"/>
      <w:ind w:firstLine="420" w:firstLineChars="100"/>
    </w:pPr>
    <w:rPr>
      <w:kern w:val="2"/>
      <w:sz w:val="21"/>
      <w:szCs w:val="20"/>
    </w:rPr>
  </w:style>
  <w:style w:type="paragraph" w:styleId="3">
    <w:name w:val="Body Text"/>
    <w:basedOn w:val="1"/>
    <w:next w:val="1"/>
    <w:qFormat/>
    <w:uiPriority w:val="99"/>
    <w:pPr>
      <w:adjustRightInd w:val="0"/>
      <w:snapToGrid w:val="0"/>
      <w:spacing w:line="360" w:lineRule="auto"/>
    </w:pPr>
    <w:rPr>
      <w:kern w:val="0"/>
      <w:sz w:val="28"/>
    </w:rPr>
  </w:style>
  <w:style w:type="paragraph" w:styleId="7">
    <w:name w:val="Salutation"/>
    <w:basedOn w:val="1"/>
    <w:next w:val="1"/>
    <w:link w:val="32"/>
    <w:qFormat/>
    <w:uiPriority w:val="0"/>
    <w:pPr>
      <w:tabs>
        <w:tab w:val="left" w:pos="600"/>
      </w:tabs>
      <w:ind w:left="600" w:hanging="600"/>
    </w:pPr>
    <w:rPr>
      <w:kern w:val="0"/>
      <w:sz w:val="24"/>
      <w:szCs w:val="20"/>
    </w:rPr>
  </w:style>
  <w:style w:type="paragraph" w:styleId="8">
    <w:name w:val="Body Text Indent"/>
    <w:basedOn w:val="1"/>
    <w:link w:val="33"/>
    <w:qFormat/>
    <w:uiPriority w:val="0"/>
    <w:pPr>
      <w:spacing w:line="440" w:lineRule="exact"/>
      <w:ind w:firstLine="560" w:firstLineChars="200"/>
    </w:pPr>
    <w:rPr>
      <w:rFonts w:ascii="楷体_GB2312" w:eastAsia="楷体_GB2312"/>
      <w:bCs/>
      <w:kern w:val="0"/>
      <w:sz w:val="28"/>
      <w:szCs w:val="20"/>
    </w:rPr>
  </w:style>
  <w:style w:type="paragraph" w:styleId="9">
    <w:name w:val="Plain Text"/>
    <w:basedOn w:val="1"/>
    <w:link w:val="43"/>
    <w:qFormat/>
    <w:uiPriority w:val="0"/>
    <w:pPr>
      <w:adjustRightInd w:val="0"/>
      <w:spacing w:line="312" w:lineRule="atLeast"/>
      <w:textAlignment w:val="baseline"/>
    </w:pPr>
    <w:rPr>
      <w:rFonts w:ascii="宋体" w:hAnsi="Courier New"/>
      <w:kern w:val="0"/>
      <w:szCs w:val="20"/>
    </w:rPr>
  </w:style>
  <w:style w:type="paragraph" w:styleId="10">
    <w:name w:val="Date"/>
    <w:basedOn w:val="1"/>
    <w:next w:val="1"/>
    <w:qFormat/>
    <w:uiPriority w:val="0"/>
    <w:rPr>
      <w:sz w:val="24"/>
    </w:rPr>
  </w:style>
  <w:style w:type="paragraph" w:styleId="11">
    <w:name w:val="Balloon Text"/>
    <w:basedOn w:val="1"/>
    <w:link w:val="64"/>
    <w:uiPriority w:val="0"/>
    <w:rPr>
      <w:sz w:val="18"/>
      <w:szCs w:val="18"/>
    </w:rPr>
  </w:style>
  <w:style w:type="paragraph" w:styleId="12">
    <w:name w:val="footer"/>
    <w:basedOn w:val="1"/>
    <w:link w:val="34"/>
    <w:qFormat/>
    <w:uiPriority w:val="0"/>
    <w:pPr>
      <w:tabs>
        <w:tab w:val="center" w:pos="4153"/>
        <w:tab w:val="right" w:pos="8306"/>
      </w:tabs>
      <w:snapToGrid w:val="0"/>
      <w:jc w:val="left"/>
    </w:pPr>
    <w:rPr>
      <w:kern w:val="0"/>
      <w:sz w:val="18"/>
      <w:szCs w:val="18"/>
    </w:rPr>
  </w:style>
  <w:style w:type="paragraph" w:styleId="13">
    <w:name w:val="header"/>
    <w:basedOn w:val="1"/>
    <w:link w:val="28"/>
    <w:qFormat/>
    <w:uiPriority w:val="0"/>
    <w:pPr>
      <w:pBdr>
        <w:bottom w:val="single" w:color="auto" w:sz="6" w:space="1"/>
      </w:pBdr>
      <w:tabs>
        <w:tab w:val="center" w:pos="4153"/>
        <w:tab w:val="right" w:pos="8306"/>
      </w:tabs>
      <w:snapToGrid w:val="0"/>
      <w:jc w:val="center"/>
    </w:pPr>
    <w:rPr>
      <w:kern w:val="0"/>
      <w:sz w:val="18"/>
      <w:szCs w:val="18"/>
    </w:rPr>
  </w:style>
  <w:style w:type="paragraph" w:styleId="14">
    <w:name w:val="toc 1"/>
    <w:basedOn w:val="1"/>
    <w:next w:val="1"/>
    <w:qFormat/>
    <w:uiPriority w:val="0"/>
  </w:style>
  <w:style w:type="paragraph" w:styleId="15">
    <w:name w:val="Body Text Indent 3"/>
    <w:basedOn w:val="1"/>
    <w:link w:val="62"/>
    <w:qFormat/>
    <w:uiPriority w:val="0"/>
    <w:pPr>
      <w:spacing w:after="120"/>
      <w:ind w:left="420" w:leftChars="200"/>
    </w:pPr>
    <w:rPr>
      <w:sz w:val="16"/>
      <w:szCs w:val="16"/>
    </w:rPr>
  </w:style>
  <w:style w:type="paragraph" w:styleId="16">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8">
    <w:name w:val="Table Grid"/>
    <w:basedOn w:val="17"/>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qFormat/>
    <w:uiPriority w:val="0"/>
    <w:rPr>
      <w:color w:val="800080"/>
      <w:u w:val="single"/>
    </w:rPr>
  </w:style>
  <w:style w:type="character" w:styleId="23">
    <w:name w:val="Emphasis"/>
    <w:qFormat/>
    <w:uiPriority w:val="0"/>
    <w:rPr>
      <w:color w:val="CC0000"/>
    </w:rPr>
  </w:style>
  <w:style w:type="character" w:styleId="24">
    <w:name w:val="Hyperlink"/>
    <w:basedOn w:val="19"/>
    <w:qFormat/>
    <w:uiPriority w:val="0"/>
    <w:rPr>
      <w:color w:val="0000FF"/>
      <w:u w:val="single"/>
    </w:rPr>
  </w:style>
  <w:style w:type="character" w:customStyle="1" w:styleId="25">
    <w:name w:val="标题 1 Char"/>
    <w:link w:val="4"/>
    <w:qFormat/>
    <w:uiPriority w:val="0"/>
    <w:rPr>
      <w:rFonts w:ascii="Times New Roman" w:hAnsi="Times New Roman"/>
      <w:b/>
      <w:bCs/>
      <w:kern w:val="44"/>
      <w:sz w:val="44"/>
      <w:szCs w:val="44"/>
    </w:rPr>
  </w:style>
  <w:style w:type="character" w:customStyle="1" w:styleId="26">
    <w:name w:val="apple-style-span"/>
    <w:basedOn w:val="19"/>
    <w:qFormat/>
    <w:uiPriority w:val="99"/>
  </w:style>
  <w:style w:type="character" w:customStyle="1" w:styleId="27">
    <w:name w:val="font51"/>
    <w:qFormat/>
    <w:uiPriority w:val="0"/>
    <w:rPr>
      <w:rFonts w:hint="eastAsia" w:ascii="宋体" w:hAnsi="宋体" w:eastAsia="宋体"/>
      <w:color w:val="000000"/>
      <w:sz w:val="20"/>
      <w:szCs w:val="20"/>
      <w:u w:val="none"/>
    </w:rPr>
  </w:style>
  <w:style w:type="character" w:customStyle="1" w:styleId="28">
    <w:name w:val="页眉 Char"/>
    <w:link w:val="13"/>
    <w:qFormat/>
    <w:uiPriority w:val="0"/>
    <w:rPr>
      <w:rFonts w:ascii="Times New Roman" w:hAnsi="Times New Roman" w:eastAsia="宋体" w:cs="Times New Roman"/>
      <w:sz w:val="18"/>
      <w:szCs w:val="18"/>
    </w:rPr>
  </w:style>
  <w:style w:type="character" w:customStyle="1" w:styleId="29">
    <w:name w:val="font81"/>
    <w:qFormat/>
    <w:uiPriority w:val="0"/>
    <w:rPr>
      <w:rFonts w:ascii="Arial" w:hAnsi="Arial" w:cs="Arial"/>
      <w:color w:val="000000"/>
      <w:sz w:val="20"/>
      <w:szCs w:val="20"/>
    </w:rPr>
  </w:style>
  <w:style w:type="character" w:customStyle="1" w:styleId="30">
    <w:name w:val="font41"/>
    <w:qFormat/>
    <w:uiPriority w:val="0"/>
    <w:rPr>
      <w:rFonts w:hint="eastAsia" w:ascii="仿宋" w:hAnsi="仿宋" w:eastAsia="仿宋" w:cs="仿宋"/>
      <w:color w:val="000000"/>
      <w:sz w:val="18"/>
      <w:szCs w:val="18"/>
    </w:rPr>
  </w:style>
  <w:style w:type="character" w:customStyle="1" w:styleId="31">
    <w:name w:val="font61"/>
    <w:qFormat/>
    <w:uiPriority w:val="0"/>
    <w:rPr>
      <w:rFonts w:hint="eastAsia" w:ascii="宋体" w:hAnsi="宋体" w:eastAsia="宋体" w:cs="宋体"/>
      <w:color w:val="000000"/>
      <w:sz w:val="20"/>
      <w:szCs w:val="20"/>
    </w:rPr>
  </w:style>
  <w:style w:type="character" w:customStyle="1" w:styleId="32">
    <w:name w:val="称呼 Char"/>
    <w:link w:val="7"/>
    <w:qFormat/>
    <w:uiPriority w:val="0"/>
    <w:rPr>
      <w:rFonts w:ascii="Times New Roman" w:hAnsi="Times New Roman" w:eastAsia="宋体" w:cs="Times New Roman"/>
      <w:sz w:val="24"/>
      <w:szCs w:val="20"/>
    </w:rPr>
  </w:style>
  <w:style w:type="character" w:customStyle="1" w:styleId="33">
    <w:name w:val="正文文本缩进 Char"/>
    <w:link w:val="8"/>
    <w:qFormat/>
    <w:uiPriority w:val="0"/>
    <w:rPr>
      <w:rFonts w:ascii="楷体_GB2312" w:hAnsi="Times New Roman" w:eastAsia="楷体_GB2312" w:cs="Times New Roman"/>
      <w:bCs/>
      <w:sz w:val="28"/>
      <w:szCs w:val="20"/>
    </w:rPr>
  </w:style>
  <w:style w:type="character" w:customStyle="1" w:styleId="34">
    <w:name w:val="页脚 Char"/>
    <w:link w:val="12"/>
    <w:qFormat/>
    <w:uiPriority w:val="0"/>
    <w:rPr>
      <w:rFonts w:ascii="Times New Roman" w:hAnsi="Times New Roman" w:eastAsia="宋体" w:cs="Times New Roman"/>
      <w:sz w:val="18"/>
      <w:szCs w:val="18"/>
    </w:rPr>
  </w:style>
  <w:style w:type="character" w:customStyle="1" w:styleId="35">
    <w:name w:val="font11"/>
    <w:qFormat/>
    <w:uiPriority w:val="0"/>
    <w:rPr>
      <w:rFonts w:hint="default" w:ascii="Verdana" w:hAnsi="Verdana"/>
      <w:color w:val="000000"/>
      <w:sz w:val="20"/>
      <w:szCs w:val="20"/>
      <w:u w:val="none"/>
    </w:rPr>
  </w:style>
  <w:style w:type="character" w:customStyle="1" w:styleId="36">
    <w:name w:val="15"/>
    <w:qFormat/>
    <w:uiPriority w:val="0"/>
    <w:rPr>
      <w:rFonts w:hint="default" w:ascii="Times New Roman" w:hAnsi="Times New Roman" w:cs="Times New Roman"/>
      <w:color w:val="0000FF"/>
      <w:sz w:val="20"/>
      <w:szCs w:val="20"/>
      <w:u w:val="single"/>
    </w:rPr>
  </w:style>
  <w:style w:type="character" w:customStyle="1" w:styleId="37">
    <w:name w:val="font01"/>
    <w:qFormat/>
    <w:uiPriority w:val="0"/>
    <w:rPr>
      <w:rFonts w:hint="eastAsia" w:ascii="宋体" w:hAnsi="宋体" w:eastAsia="宋体" w:cs="宋体"/>
      <w:color w:val="000000"/>
      <w:sz w:val="18"/>
      <w:szCs w:val="18"/>
    </w:rPr>
  </w:style>
  <w:style w:type="character" w:customStyle="1" w:styleId="38">
    <w:name w:val="标题 3 Char"/>
    <w:link w:val="6"/>
    <w:qFormat/>
    <w:uiPriority w:val="0"/>
    <w:rPr>
      <w:rFonts w:ascii="Times New Roman" w:hAnsi="Times New Roman"/>
      <w:b/>
      <w:bCs/>
      <w:kern w:val="2"/>
      <w:sz w:val="32"/>
      <w:szCs w:val="32"/>
    </w:rPr>
  </w:style>
  <w:style w:type="character" w:customStyle="1" w:styleId="39">
    <w:name w:val="apple-converted-space"/>
    <w:basedOn w:val="19"/>
    <w:qFormat/>
    <w:uiPriority w:val="0"/>
  </w:style>
  <w:style w:type="character" w:customStyle="1" w:styleId="40">
    <w:name w:val="font71"/>
    <w:qFormat/>
    <w:uiPriority w:val="0"/>
    <w:rPr>
      <w:rFonts w:hint="default" w:ascii="Times New Roman" w:hAnsi="Times New Roman" w:cs="Times New Roman"/>
      <w:color w:val="000000"/>
      <w:sz w:val="20"/>
      <w:szCs w:val="20"/>
    </w:rPr>
  </w:style>
  <w:style w:type="character" w:customStyle="1" w:styleId="41">
    <w:name w:val="标题 2 Char"/>
    <w:link w:val="5"/>
    <w:qFormat/>
    <w:uiPriority w:val="0"/>
    <w:rPr>
      <w:rFonts w:ascii="Cambria" w:hAnsi="Cambria"/>
      <w:b/>
      <w:bCs/>
      <w:kern w:val="2"/>
      <w:sz w:val="32"/>
      <w:szCs w:val="32"/>
    </w:rPr>
  </w:style>
  <w:style w:type="character" w:customStyle="1" w:styleId="42">
    <w:name w:val="font31"/>
    <w:qFormat/>
    <w:uiPriority w:val="0"/>
    <w:rPr>
      <w:rFonts w:hint="eastAsia" w:ascii="宋体" w:hAnsi="宋体" w:eastAsia="宋体"/>
      <w:color w:val="000000"/>
      <w:sz w:val="20"/>
      <w:szCs w:val="20"/>
      <w:u w:val="none"/>
    </w:rPr>
  </w:style>
  <w:style w:type="character" w:customStyle="1" w:styleId="43">
    <w:name w:val="纯文本 Char"/>
    <w:link w:val="9"/>
    <w:qFormat/>
    <w:uiPriority w:val="0"/>
    <w:rPr>
      <w:rFonts w:ascii="宋体" w:hAnsi="Courier New"/>
      <w:sz w:val="21"/>
    </w:rPr>
  </w:style>
  <w:style w:type="character" w:customStyle="1" w:styleId="44">
    <w:name w:val="cen3"/>
    <w:qFormat/>
    <w:uiPriority w:val="0"/>
    <w:rPr>
      <w:color w:val="333333"/>
    </w:rPr>
  </w:style>
  <w:style w:type="character" w:customStyle="1" w:styleId="45">
    <w:name w:val="font21"/>
    <w:qFormat/>
    <w:uiPriority w:val="0"/>
    <w:rPr>
      <w:rFonts w:hint="default" w:ascii="Verdana" w:hAnsi="Verdana"/>
      <w:color w:val="000000"/>
      <w:sz w:val="20"/>
      <w:szCs w:val="20"/>
      <w:u w:val="none"/>
    </w:rPr>
  </w:style>
  <w:style w:type="paragraph" w:customStyle="1" w:styleId="46">
    <w:name w:val="列出段落1"/>
    <w:basedOn w:val="1"/>
    <w:qFormat/>
    <w:uiPriority w:val="99"/>
    <w:pPr>
      <w:ind w:firstLine="420" w:firstLineChars="200"/>
    </w:pPr>
    <w:rPr>
      <w:rFonts w:ascii="Calibri" w:hAnsi="Calibri"/>
      <w:szCs w:val="22"/>
    </w:rPr>
  </w:style>
  <w:style w:type="paragraph" w:styleId="47">
    <w:name w:val="List Paragraph"/>
    <w:basedOn w:val="1"/>
    <w:qFormat/>
    <w:uiPriority w:val="99"/>
    <w:pPr>
      <w:ind w:firstLine="420" w:firstLineChars="200"/>
    </w:pPr>
  </w:style>
  <w:style w:type="paragraph" w:customStyle="1" w:styleId="48">
    <w:name w:val="p15"/>
    <w:basedOn w:val="1"/>
    <w:qFormat/>
    <w:uiPriority w:val="0"/>
    <w:pPr>
      <w:widowControl/>
      <w:ind w:firstLine="420"/>
    </w:pPr>
    <w:rPr>
      <w:kern w:val="0"/>
      <w:szCs w:val="21"/>
    </w:rPr>
  </w:style>
  <w:style w:type="paragraph" w:customStyle="1" w:styleId="49">
    <w:name w:val="p0"/>
    <w:basedOn w:val="1"/>
    <w:qFormat/>
    <w:uiPriority w:val="0"/>
    <w:pPr>
      <w:widowControl/>
    </w:pPr>
    <w:rPr>
      <w:rFonts w:ascii="Calibri" w:hAnsi="Calibri" w:cs="宋体"/>
      <w:kern w:val="0"/>
      <w:szCs w:val="21"/>
    </w:rPr>
  </w:style>
  <w:style w:type="paragraph" w:customStyle="1" w:styleId="50">
    <w:name w:val="Char Char Char"/>
    <w:basedOn w:val="1"/>
    <w:qFormat/>
    <w:uiPriority w:val="0"/>
  </w:style>
  <w:style w:type="paragraph" w:customStyle="1" w:styleId="51">
    <w:name w:val="样式 标题 1 + 宋体 居中 段前: 17 磅 段后: 16.5 磅"/>
    <w:basedOn w:val="4"/>
    <w:qFormat/>
    <w:uiPriority w:val="0"/>
    <w:pPr>
      <w:pageBreakBefore/>
      <w:widowControl/>
      <w:tabs>
        <w:tab w:val="left" w:pos="840"/>
      </w:tabs>
      <w:snapToGrid w:val="0"/>
      <w:ind w:left="840" w:hanging="420"/>
    </w:pPr>
    <w:rPr>
      <w:rFonts w:ascii="华文中宋" w:hAnsi="华文中宋" w:eastAsia="华文中宋" w:cs="宋体"/>
      <w:sz w:val="28"/>
      <w:szCs w:val="20"/>
    </w:rPr>
  </w:style>
  <w:style w:type="paragraph" w:customStyle="1" w:styleId="52">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3">
    <w:name w:val="Char"/>
    <w:basedOn w:val="1"/>
    <w:qFormat/>
    <w:uiPriority w:val="0"/>
    <w:rPr>
      <w:rFonts w:ascii="Tahoma" w:hAnsi="Tahoma"/>
      <w:sz w:val="24"/>
      <w:szCs w:val="20"/>
    </w:rPr>
  </w:style>
  <w:style w:type="paragraph" w:customStyle="1" w:styleId="54">
    <w:name w:val="Char Char Char1"/>
    <w:basedOn w:val="1"/>
    <w:qFormat/>
    <w:uiPriority w:val="0"/>
    <w:pPr>
      <w:tabs>
        <w:tab w:val="left" w:pos="375"/>
        <w:tab w:val="left" w:pos="1545"/>
      </w:tabs>
      <w:ind w:left="375" w:hanging="375"/>
    </w:pPr>
    <w:rPr>
      <w:szCs w:val="20"/>
    </w:rPr>
  </w:style>
  <w:style w:type="paragraph" w:customStyle="1" w:styleId="55">
    <w:name w:val="p17"/>
    <w:basedOn w:val="1"/>
    <w:qFormat/>
    <w:uiPriority w:val="0"/>
    <w:pPr>
      <w:widowControl/>
      <w:spacing w:after="120" w:line="480" w:lineRule="auto"/>
      <w:ind w:left="420"/>
    </w:pPr>
    <w:rPr>
      <w:kern w:val="0"/>
      <w:szCs w:val="21"/>
    </w:rPr>
  </w:style>
  <w:style w:type="paragraph" w:styleId="56">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7">
    <w:name w:val="纯文本1"/>
    <w:basedOn w:val="1"/>
    <w:qFormat/>
    <w:uiPriority w:val="0"/>
    <w:pPr>
      <w:widowControl/>
      <w:adjustRightInd w:val="0"/>
      <w:jc w:val="left"/>
      <w:textAlignment w:val="baseline"/>
    </w:pPr>
    <w:rPr>
      <w:rFonts w:ascii="宋体" w:hAnsi="Courier New" w:eastAsia="楷体_GB2312"/>
      <w:kern w:val="0"/>
      <w:sz w:val="26"/>
      <w:szCs w:val="20"/>
    </w:rPr>
  </w:style>
  <w:style w:type="paragraph" w:customStyle="1" w:styleId="58">
    <w:name w:val="首行缩进"/>
    <w:basedOn w:val="1"/>
    <w:qFormat/>
    <w:uiPriority w:val="0"/>
    <w:pPr>
      <w:spacing w:line="360" w:lineRule="auto"/>
      <w:ind w:firstLine="480" w:firstLineChars="200"/>
    </w:pPr>
    <w:rPr>
      <w:rFonts w:ascii="Calibri" w:hAnsi="Calibri"/>
      <w:sz w:val="24"/>
      <w:szCs w:val="22"/>
      <w:lang w:val="zh-CN"/>
    </w:rPr>
  </w:style>
  <w:style w:type="paragraph" w:customStyle="1" w:styleId="59">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0">
    <w:name w:val="p18"/>
    <w:basedOn w:val="1"/>
    <w:qFormat/>
    <w:uiPriority w:val="0"/>
    <w:pPr>
      <w:widowControl/>
    </w:pPr>
    <w:rPr>
      <w:kern w:val="0"/>
      <w:sz w:val="24"/>
    </w:rPr>
  </w:style>
  <w:style w:type="character" w:customStyle="1" w:styleId="61">
    <w:name w:val="页眉 字符"/>
    <w:qFormat/>
    <w:uiPriority w:val="0"/>
    <w:rPr>
      <w:rFonts w:ascii="Times New Roman" w:hAnsi="Times New Roman" w:eastAsia="宋体" w:cs="Times New Roman"/>
      <w:sz w:val="18"/>
      <w:szCs w:val="18"/>
    </w:rPr>
  </w:style>
  <w:style w:type="character" w:customStyle="1" w:styleId="62">
    <w:name w:val="正文文本缩进 3 Char"/>
    <w:basedOn w:val="19"/>
    <w:link w:val="15"/>
    <w:qFormat/>
    <w:uiPriority w:val="0"/>
    <w:rPr>
      <w:kern w:val="2"/>
      <w:sz w:val="16"/>
      <w:szCs w:val="16"/>
    </w:rPr>
  </w:style>
  <w:style w:type="paragraph" w:customStyle="1" w:styleId="63">
    <w:name w:val="材料标题"/>
    <w:basedOn w:val="1"/>
    <w:qFormat/>
    <w:uiPriority w:val="0"/>
    <w:pPr>
      <w:adjustRightInd w:val="0"/>
      <w:snapToGrid w:val="0"/>
      <w:spacing w:line="700" w:lineRule="exact"/>
      <w:jc w:val="center"/>
    </w:pPr>
    <w:rPr>
      <w:rFonts w:ascii="方正小标宋简体" w:eastAsia="方正小标宋简体"/>
      <w:color w:val="000000"/>
      <w:sz w:val="44"/>
      <w:szCs w:val="44"/>
    </w:rPr>
  </w:style>
  <w:style w:type="character" w:customStyle="1" w:styleId="64">
    <w:name w:val="批注框文本 Char"/>
    <w:basedOn w:val="19"/>
    <w:link w:val="11"/>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1" Type="http://schemas.openxmlformats.org/officeDocument/2006/relationships/fontTable" Target="fontTable.xml"/><Relationship Id="rId70" Type="http://schemas.openxmlformats.org/officeDocument/2006/relationships/customXml" Target="../customXml/item2.xml"/><Relationship Id="rId7" Type="http://schemas.openxmlformats.org/officeDocument/2006/relationships/image" Target="media/image2.png"/><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62.pn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png"/><Relationship Id="rId60" Type="http://schemas.openxmlformats.org/officeDocument/2006/relationships/image" Target="media/image55.jpe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jpe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F4AC35-C71C-4C5B-A668-E857C694316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62</Pages>
  <Words>3212</Words>
  <Characters>18309</Characters>
  <Lines>152</Lines>
  <Paragraphs>42</Paragraphs>
  <TotalTime>4</TotalTime>
  <ScaleCrop>false</ScaleCrop>
  <LinksUpToDate>false</LinksUpToDate>
  <CharactersWithSpaces>21479</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2020-11-16T02:23:00Z</dcterms:created>
  <dc:creator>dbc</dc:creator>
  <cp:lastModifiedBy>我不酷</cp:lastModifiedBy>
  <cp:lastPrinted>2020-11-09T08:20:00Z</cp:lastPrinted>
  <dcterms:modified xsi:type="dcterms:W3CDTF">2021-05-10T02:56:29Z</dcterms:modified>
  <dc:title>武进区公共资源管理中心</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CA8649195F23435584DC7716F80BB1C5</vt:lpwstr>
  </property>
</Properties>
</file>